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03.0</w:t>
            </w:r>
            <w:r>
              <w:rPr>
                <w:rFonts w:hint="eastAsia" w:ascii="黑体" w:hAnsi="黑体" w:eastAsia="黑体"/>
                <w:sz w:val="21"/>
                <w:szCs w:val="21"/>
                <w:lang w:val="en-US" w:eastAsia="zh-CN"/>
              </w:rPr>
              <w:t>8</w:t>
            </w:r>
            <w:bookmarkStart w:id="197" w:name="_GoBack"/>
            <w:bookmarkEnd w:id="197"/>
            <w:r>
              <w:rPr>
                <w:rFonts w:hint="eastAsia" w:ascii="黑体" w:hAnsi="黑体" w:eastAsia="黑体"/>
                <w:sz w:val="21"/>
                <w:szCs w:val="21"/>
              </w:rPr>
              <w:t>0.01</w:t>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12</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2"/>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3303</w:t>
            </w:r>
            <w:r>
              <w:fldChar w:fldCharType="end"/>
            </w:r>
            <w:bookmarkEnd w:id="3"/>
          </w:p>
        </w:tc>
      </w:tr>
    </w:tbl>
    <w:p>
      <w:pPr>
        <w:pStyle w:val="53"/>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温州市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8"/>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9"/>
        <w:framePr/>
      </w:pPr>
      <w:r>
        <w:fldChar w:fldCharType="begin">
          <w:ffData>
            <w:name w:val="OSTD_CODE"/>
            <w:enabled/>
            <w:calcOnExit w:val="0"/>
            <w:textInput/>
          </w:ffData>
        </w:fldChar>
      </w:r>
      <w:bookmarkStart w:id="8" w:name="OSTD_CODE"/>
      <w:r>
        <w:instrText xml:space="preserve"> FORMTEXT </w:instrText>
      </w:r>
      <w:r>
        <w:fldChar w:fldCharType="separate"/>
      </w:r>
      <w:r>
        <w:t>     </w:t>
      </w:r>
      <w: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x="1533"/>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“共享社</w:t>
      </w:r>
      <w:r>
        <w:rPr>
          <w:rFonts w:hint="eastAsia"/>
        </w:rPr>
        <w:t>·</w:t>
      </w:r>
      <w:r>
        <w:t>幸福里”</w:t>
      </w:r>
      <w:r>
        <w:rPr>
          <w:rFonts w:hint="eastAsia"/>
        </w:rPr>
        <w:t>建设规范</w:t>
      </w:r>
      <w:r>
        <w:fldChar w:fldCharType="end"/>
      </w:r>
      <w:bookmarkEnd w:id="9"/>
    </w:p>
    <w:p>
      <w:pPr>
        <w:framePr w:w="9639" w:h="6974" w:hRule="exact" w:wrap="around" w:vAnchor="page" w:hAnchor="page" w:x="1366" w:y="6656" w:anchorLock="1"/>
      </w:pPr>
    </w:p>
    <w:p>
      <w:pPr>
        <w:pStyle w:val="128"/>
        <w:framePr w:w="9639" w:h="6974" w:hRule="exact" w:wrap="around" w:vAnchor="page" w:hAnchor="page" w:x="1366" w:y="6656" w:anchorLock="1"/>
        <w:textAlignment w:val="bottom"/>
        <w:rPr>
          <w:rFonts w:ascii="黑体" w:hAnsi="黑体" w:eastAsia="黑体"/>
          <w:szCs w:val="28"/>
        </w:rPr>
      </w:pPr>
    </w:p>
    <w:p>
      <w:pPr>
        <w:pStyle w:val="128"/>
        <w:framePr w:w="9639" w:h="6974" w:hRule="exact" w:wrap="around" w:vAnchor="page" w:hAnchor="page" w:x="1366" w:y="6656"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 xml:space="preserve">The construction standard of "Shared </w:t>
      </w:r>
      <w:r>
        <w:rPr>
          <w:rFonts w:ascii="黑体" w:hAnsi="黑体" w:eastAsia="黑体"/>
          <w:szCs w:val="28"/>
        </w:rPr>
        <w:t>C</w:t>
      </w:r>
      <w:r>
        <w:rPr>
          <w:rFonts w:hint="eastAsia" w:ascii="黑体" w:hAnsi="黑体" w:eastAsia="黑体"/>
          <w:szCs w:val="28"/>
        </w:rPr>
        <w:t>ommunity· Happiness Lane"</w:t>
      </w:r>
      <w:r>
        <w:rPr>
          <w:rFonts w:ascii="黑体" w:hAnsi="黑体" w:eastAsia="黑体"/>
          <w:szCs w:val="28"/>
        </w:rPr>
        <w:fldChar w:fldCharType="end"/>
      </w:r>
      <w:bookmarkEnd w:id="10"/>
    </w:p>
    <w:p>
      <w:pPr>
        <w:framePr w:w="9639" w:h="6974" w:hRule="exact" w:wrap="around" w:vAnchor="page" w:hAnchor="page" w:x="1366" w:y="6656" w:anchorLock="1"/>
        <w:spacing w:line="760" w:lineRule="exact"/>
        <w:ind w:left="-1418"/>
      </w:pPr>
    </w:p>
    <w:p>
      <w:pPr>
        <w:pStyle w:val="128"/>
        <w:framePr w:w="9639" w:h="6974" w:hRule="exact" w:wrap="around" w:vAnchor="page" w:hAnchor="page" w:x="1366" w:y="6656" w:anchorLock="1"/>
        <w:textAlignment w:val="bottom"/>
        <w:rPr>
          <w:rFonts w:eastAsia="黑体"/>
          <w:szCs w:val="28"/>
        </w:rPr>
      </w:pPr>
    </w:p>
    <w:p>
      <w:pPr>
        <w:pStyle w:val="128"/>
        <w:framePr w:w="9639" w:h="6974" w:hRule="exact" w:wrap="around" w:vAnchor="page" w:hAnchor="page" w:x="1366" w:y="6656"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r>
        <w:rPr>
          <w:rFonts w:hint="eastAsia"/>
          <w:sz w:val="24"/>
          <w:szCs w:val="28"/>
        </w:rPr>
        <w:t>（报批稿）</w:t>
      </w:r>
    </w:p>
    <w:p>
      <w:pPr>
        <w:pStyle w:val="128"/>
        <w:framePr w:w="9639" w:h="6974" w:hRule="exact" w:wrap="around" w:vAnchor="page" w:hAnchor="page" w:x="1366" w:y="6656"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8"/>
        <w:framePr w:w="9639" w:h="6974" w:hRule="exact" w:wrap="around" w:vAnchor="page" w:hAnchor="page" w:x="1366" w:y="6656"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6"/>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4"/>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温州市市场监督管理局</w:t>
      </w:r>
      <w:r>
        <w:rPr>
          <w:rFonts w:hAnsi="黑体"/>
          <w:w w:val="100"/>
          <w:sz w:val="28"/>
        </w:rPr>
        <w:fldChar w:fldCharType="end"/>
      </w:r>
      <w:bookmarkEnd w:id="20"/>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468"/>
      </w:pPr>
      <w:bookmarkStart w:id="21" w:name="BookMark1"/>
      <w:r>
        <w:rPr>
          <w:rFonts w:hint="eastAsia"/>
          <w:spacing w:val="320"/>
        </w:rPr>
        <w:t>目</w:t>
      </w:r>
      <w:r>
        <w:rPr>
          <w:rFonts w:hint="eastAsia"/>
        </w:rPr>
        <w:t>次</w:t>
      </w:r>
    </w:p>
    <w:p>
      <w:pPr>
        <w:pStyle w:val="20"/>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"_Toc3240" </w:instrText>
      </w:r>
      <w:r>
        <w:fldChar w:fldCharType="separate"/>
      </w:r>
      <w:r>
        <w:rPr>
          <w:rFonts w:hint="eastAsia"/>
          <w:spacing w:val="320"/>
        </w:rPr>
        <w:t>前</w:t>
      </w:r>
      <w:r>
        <w:rPr>
          <w:rFonts w:hint="eastAsia"/>
        </w:rPr>
        <w:t>言</w:t>
      </w:r>
      <w:r>
        <w:tab/>
      </w:r>
      <w:r>
        <w:fldChar w:fldCharType="begin"/>
      </w:r>
      <w:r>
        <w:instrText xml:space="preserve"> PAGEREF _Toc3240 \h </w:instrText>
      </w:r>
      <w:r>
        <w:fldChar w:fldCharType="separate"/>
      </w:r>
      <w:r>
        <w:t>II</w:t>
      </w:r>
      <w:r>
        <w:fldChar w:fldCharType="end"/>
      </w:r>
      <w:r>
        <w:fldChar w:fldCharType="end"/>
      </w:r>
    </w:p>
    <w:p>
      <w:pPr>
        <w:pStyle w:val="20"/>
        <w:tabs>
          <w:tab w:val="right" w:leader="dot" w:pos="9354"/>
        </w:tabs>
      </w:pPr>
      <w:r>
        <w:fldChar w:fldCharType="begin"/>
      </w:r>
      <w:r>
        <w:instrText xml:space="preserve"> HYPERLINK \l "_Toc3727" </w:instrText>
      </w:r>
      <w:r>
        <w:fldChar w:fldCharType="separate"/>
      </w:r>
      <w:r>
        <w:rPr>
          <w:rFonts w:hint="eastAsia" w:ascii="黑体" w:eastAsia="黑体"/>
        </w:rPr>
        <w:t xml:space="preserve">1 </w:t>
      </w:r>
      <w:r>
        <w:rPr>
          <w:rFonts w:hint="eastAsia"/>
        </w:rPr>
        <w:t>范围</w:t>
      </w:r>
      <w:r>
        <w:tab/>
      </w:r>
      <w:r>
        <w:fldChar w:fldCharType="begin"/>
      </w:r>
      <w:r>
        <w:instrText xml:space="preserve"> PAGEREF _Toc3727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"_Toc3270"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_Toc3270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"_Toc5256" </w:instrText>
      </w:r>
      <w:r>
        <w:fldChar w:fldCharType="separate"/>
      </w:r>
      <w:r>
        <w:rPr>
          <w:rFonts w:hint="eastAsia" w:ascii="黑体" w:eastAsia="黑体"/>
        </w:rPr>
        <w:t xml:space="preserve">3 </w:t>
      </w:r>
      <w:r>
        <w:rPr>
          <w:rFonts w:hint="eastAsia"/>
        </w:rPr>
        <w:t>术语与定义</w:t>
      </w:r>
      <w:r>
        <w:tab/>
      </w:r>
      <w:r>
        <w:fldChar w:fldCharType="begin"/>
      </w:r>
      <w:r>
        <w:instrText xml:space="preserve"> PAGEREF _Toc5256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"_Toc2942" </w:instrText>
      </w:r>
      <w:r>
        <w:fldChar w:fldCharType="separate"/>
      </w:r>
      <w:r>
        <w:rPr>
          <w:rFonts w:hint="eastAsia" w:ascii="黑体" w:eastAsia="黑体"/>
        </w:rPr>
        <w:t xml:space="preserve">4 </w:t>
      </w:r>
      <w:r>
        <w:rPr>
          <w:rFonts w:hint="eastAsia"/>
        </w:rPr>
        <w:t>原则</w:t>
      </w:r>
      <w:r>
        <w:tab/>
      </w:r>
      <w:r>
        <w:fldChar w:fldCharType="begin"/>
      </w:r>
      <w:r>
        <w:instrText xml:space="preserve"> PAGEREF _Toc2942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"_Toc18856" </w:instrText>
      </w:r>
      <w:r>
        <w:fldChar w:fldCharType="separate"/>
      </w:r>
      <w:r>
        <w:rPr>
          <w:rFonts w:hint="eastAsia" w:ascii="黑体" w:eastAsia="黑体"/>
        </w:rPr>
        <w:t xml:space="preserve">5 </w:t>
      </w:r>
      <w:r>
        <w:rPr>
          <w:rFonts w:hint="eastAsia"/>
        </w:rPr>
        <w:t>组织建设</w:t>
      </w:r>
      <w:r>
        <w:tab/>
      </w:r>
      <w:r>
        <w:fldChar w:fldCharType="begin"/>
      </w:r>
      <w:r>
        <w:instrText xml:space="preserve"> PAGEREF _Toc18856 \h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"_Toc25689" </w:instrText>
      </w:r>
      <w:r>
        <w:fldChar w:fldCharType="separate"/>
      </w:r>
      <w:r>
        <w:rPr>
          <w:rFonts w:hint="eastAsia" w:ascii="黑体" w:eastAsia="黑体"/>
        </w:rPr>
        <w:t xml:space="preserve">6 </w:t>
      </w:r>
      <w:r>
        <w:rPr>
          <w:rFonts w:hint="eastAsia"/>
        </w:rPr>
        <w:t>队伍建设</w:t>
      </w:r>
      <w:r>
        <w:tab/>
      </w:r>
      <w:r>
        <w:fldChar w:fldCharType="begin"/>
      </w:r>
      <w:r>
        <w:instrText xml:space="preserve"> PAGEREF _Toc25689 \h </w:instrText>
      </w:r>
      <w:r>
        <w:fldChar w:fldCharType="separate"/>
      </w:r>
      <w:r>
        <w:t>3</w:t>
      </w:r>
      <w:r>
        <w:fldChar w:fldCharType="end"/>
      </w:r>
      <w:r>
        <w:fldChar w:fldCharType="end"/>
      </w:r>
    </w:p>
    <w:p>
      <w:pPr>
        <w:pStyle w:val="20"/>
        <w:tabs>
          <w:tab w:val="right" w:leader="dot" w:pos="9354"/>
        </w:tabs>
      </w:pPr>
      <w:r>
        <w:fldChar w:fldCharType="begin"/>
      </w:r>
      <w:r>
        <w:instrText xml:space="preserve"> HYPERLINK \l "_Toc3916" </w:instrText>
      </w:r>
      <w:r>
        <w:fldChar w:fldCharType="separate"/>
      </w:r>
      <w:r>
        <w:rPr>
          <w:rFonts w:hint="eastAsia" w:ascii="黑体" w:eastAsia="黑体"/>
        </w:rPr>
        <w:t xml:space="preserve">7 </w:t>
      </w:r>
      <w:r>
        <w:rPr>
          <w:rFonts w:hint="eastAsia"/>
        </w:rPr>
        <w:t>服务设施</w:t>
      </w:r>
      <w:r>
        <w:tab/>
      </w:r>
      <w:r>
        <w:fldChar w:fldCharType="begin"/>
      </w:r>
      <w:r>
        <w:instrText xml:space="preserve"> PAGEREF _Toc3916 \h </w:instrText>
      </w:r>
      <w:r>
        <w:fldChar w:fldCharType="separate"/>
      </w:r>
      <w:r>
        <w:t>4</w:t>
      </w:r>
      <w:r>
        <w:fldChar w:fldCharType="end"/>
      </w:r>
      <w:r>
        <w:fldChar w:fldCharType="end"/>
      </w:r>
    </w:p>
    <w:p>
      <w:pPr>
        <w:pStyle w:val="20"/>
        <w:tabs>
          <w:tab w:val="right" w:leader="dot" w:pos="9354"/>
        </w:tabs>
      </w:pPr>
      <w:r>
        <w:fldChar w:fldCharType="begin"/>
      </w:r>
      <w:r>
        <w:instrText xml:space="preserve"> HYPERLINK \l "_Toc15251" </w:instrText>
      </w:r>
      <w:r>
        <w:fldChar w:fldCharType="separate"/>
      </w:r>
      <w:r>
        <w:rPr>
          <w:rFonts w:hint="eastAsia" w:ascii="黑体" w:eastAsia="黑体"/>
        </w:rPr>
        <w:t xml:space="preserve">8 </w:t>
      </w:r>
      <w:r>
        <w:rPr>
          <w:rFonts w:hint="eastAsia"/>
        </w:rPr>
        <w:t>运行管理</w:t>
      </w:r>
      <w:r>
        <w:tab/>
      </w:r>
      <w:r>
        <w:fldChar w:fldCharType="begin"/>
      </w:r>
      <w:r>
        <w:instrText xml:space="preserve"> PAGEREF _Toc15251 \h </w:instrText>
      </w:r>
      <w:r>
        <w:fldChar w:fldCharType="separate"/>
      </w:r>
      <w:r>
        <w:t>5</w:t>
      </w:r>
      <w:r>
        <w:fldChar w:fldCharType="end"/>
      </w:r>
      <w:r>
        <w:fldChar w:fldCharType="end"/>
      </w:r>
    </w:p>
    <w:p>
      <w:pPr>
        <w:pStyle w:val="20"/>
        <w:tabs>
          <w:tab w:val="right" w:leader="dot" w:pos="9354"/>
        </w:tabs>
      </w:pPr>
      <w:r>
        <w:fldChar w:fldCharType="begin"/>
      </w:r>
      <w:r>
        <w:instrText xml:space="preserve"> HYPERLINK \l "_Toc4817" </w:instrText>
      </w:r>
      <w:r>
        <w:fldChar w:fldCharType="separate"/>
      </w:r>
      <w:r>
        <w:rPr>
          <w:rFonts w:hint="eastAsia" w:ascii="黑体" w:eastAsia="黑体"/>
        </w:rPr>
        <w:t xml:space="preserve">9 </w:t>
      </w:r>
      <w:r>
        <w:rPr>
          <w:rFonts w:hint="eastAsia"/>
        </w:rPr>
        <w:t>服务要求</w:t>
      </w:r>
      <w:r>
        <w:tab/>
      </w:r>
      <w:r>
        <w:fldChar w:fldCharType="begin"/>
      </w:r>
      <w:r>
        <w:instrText xml:space="preserve"> PAGEREF _Toc4817 \h </w:instrText>
      </w:r>
      <w:r>
        <w:fldChar w:fldCharType="separate"/>
      </w:r>
      <w:r>
        <w:t>6</w:t>
      </w:r>
      <w:r>
        <w:fldChar w:fldCharType="end"/>
      </w:r>
      <w:r>
        <w:fldChar w:fldCharType="end"/>
      </w:r>
    </w:p>
    <w:p>
      <w:pPr>
        <w:pStyle w:val="20"/>
        <w:tabs>
          <w:tab w:val="right" w:leader="dot" w:pos="9354"/>
        </w:tabs>
      </w:pPr>
      <w:r>
        <w:fldChar w:fldCharType="begin"/>
      </w:r>
      <w:r>
        <w:instrText xml:space="preserve"> HYPERLINK \l "_Toc4258" </w:instrText>
      </w:r>
      <w:r>
        <w:fldChar w:fldCharType="separate"/>
      </w:r>
      <w:r>
        <w:rPr>
          <w:rFonts w:hint="eastAsia" w:ascii="黑体" w:eastAsia="黑体"/>
        </w:rPr>
        <w:t xml:space="preserve">10 </w:t>
      </w:r>
      <w:r>
        <w:rPr>
          <w:rFonts w:hint="eastAsia"/>
        </w:rPr>
        <w:t>评价与改进</w:t>
      </w:r>
      <w:r>
        <w:tab/>
      </w:r>
      <w:r>
        <w:fldChar w:fldCharType="begin"/>
      </w:r>
      <w:r>
        <w:instrText xml:space="preserve"> PAGEREF _Toc4258 \h </w:instrText>
      </w:r>
      <w:r>
        <w:fldChar w:fldCharType="separate"/>
      </w:r>
      <w:r>
        <w:t>7</w:t>
      </w:r>
      <w:r>
        <w:fldChar w:fldCharType="end"/>
      </w:r>
      <w:r>
        <w:fldChar w:fldCharType="end"/>
      </w:r>
    </w:p>
    <w:p>
      <w:pPr>
        <w:pStyle w:val="20"/>
        <w:tabs>
          <w:tab w:val="right" w:leader="dot" w:pos="9354"/>
        </w:tabs>
      </w:pPr>
      <w:r>
        <w:fldChar w:fldCharType="begin"/>
      </w:r>
      <w:r>
        <w:instrText xml:space="preserve"> HYPERLINK \l "_Toc585" </w:instrText>
      </w:r>
      <w:r>
        <w:fldChar w:fldCharType="separate"/>
      </w:r>
      <w:r>
        <w:rPr>
          <w:rFonts w:hint="eastAsia"/>
          <w:spacing w:val="100"/>
        </w:rPr>
        <w:t xml:space="preserve">附录A </w:t>
      </w:r>
      <w:r>
        <w:t xml:space="preserve"> </w:t>
      </w:r>
      <w:r>
        <w:rPr>
          <w:rFonts w:hint="eastAsia"/>
        </w:rPr>
        <w:t>（资料性）</w:t>
      </w:r>
      <w:r>
        <w:t xml:space="preserve"> </w:t>
      </w:r>
      <w:r>
        <w:rPr>
          <w:rFonts w:hint="eastAsia"/>
        </w:rPr>
        <w:t>“共享社·幸福里”形象标识和标牌</w:t>
      </w:r>
      <w:r>
        <w:tab/>
      </w:r>
      <w:r>
        <w:fldChar w:fldCharType="begin"/>
      </w:r>
      <w:r>
        <w:instrText xml:space="preserve"> PAGEREF _Toc585 \h </w:instrText>
      </w:r>
      <w:r>
        <w:fldChar w:fldCharType="separate"/>
      </w:r>
      <w:r>
        <w:t>9</w:t>
      </w:r>
      <w:r>
        <w:fldChar w:fldCharType="end"/>
      </w:r>
      <w:r>
        <w:fldChar w:fldCharType="end"/>
      </w:r>
    </w:p>
    <w:p>
      <w:pPr>
        <w:pStyle w:val="94"/>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bookmarkEnd w:id="21"/>
    </w:p>
    <w:p>
      <w:pPr>
        <w:pStyle w:val="92"/>
        <w:spacing w:before="900" w:after="468"/>
      </w:pPr>
      <w:bookmarkStart w:id="22" w:name="_Toc3240"/>
      <w:bookmarkStart w:id="23" w:name="BookMark2"/>
      <w:r>
        <w:rPr>
          <w:rFonts w:hint="eastAsia"/>
          <w:spacing w:val="320"/>
        </w:rPr>
        <w:t>前</w:t>
      </w:r>
      <w:r>
        <w:rPr>
          <w:rFonts w:hint="eastAsia"/>
        </w:rPr>
        <w:t>言</w:t>
      </w:r>
      <w:bookmarkEnd w:id="22"/>
    </w:p>
    <w:p>
      <w:pPr>
        <w:pStyle w:val="59"/>
      </w:pPr>
      <w:r>
        <w:rPr>
          <w:rFonts w:hint="eastAsia"/>
        </w:rPr>
        <w:t>本文件按照GB/T 1.1—2020《标准化工作导则  第1部分：标准化文件的结构和起草规则》的规定起草。</w:t>
      </w:r>
    </w:p>
    <w:p>
      <w:pPr>
        <w:pStyle w:val="59"/>
      </w:pPr>
      <w:r>
        <w:t>请注意本标准的某些内容可能涉及专利。本标准的发布机构不承担识别专利的责任。</w:t>
      </w:r>
    </w:p>
    <w:p>
      <w:pPr>
        <w:pStyle w:val="59"/>
      </w:pPr>
      <w:r>
        <w:rPr>
          <w:rFonts w:hint="eastAsia"/>
        </w:rPr>
        <w:t>本文件由中共温州市委组织部提出并归口。</w:t>
      </w:r>
    </w:p>
    <w:p>
      <w:pPr>
        <w:pStyle w:val="59"/>
      </w:pPr>
      <w:r>
        <w:rPr>
          <w:rFonts w:hint="eastAsia"/>
        </w:rPr>
        <w:t>本文件起草单位：中共温州市委组织部、中共温州市委社会工作部、温州市民政局、温州市市场监督管理局、浙江省标准化研究院。</w:t>
      </w:r>
    </w:p>
    <w:p>
      <w:pPr>
        <w:pStyle w:val="59"/>
      </w:pPr>
      <w:r>
        <w:rPr>
          <w:rFonts w:hint="eastAsia"/>
        </w:rPr>
        <w:t>本文件主要起草人：颜理俊、周洪炜、缪聪颖、郑培、缪增标、黄时跃、刘汇津、陆萱期。</w:t>
      </w:r>
    </w:p>
    <w:p>
      <w:pPr>
        <w:pStyle w:val="59"/>
      </w:pPr>
    </w:p>
    <w:p>
      <w:pPr>
        <w:pStyle w:val="59"/>
        <w:sectPr>
          <w:pgSz w:w="11906" w:h="16838"/>
          <w:pgMar w:top="1928"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0730F61BC87C4DF5B9BEB5A6F997AE11"/>
        </w:placeholder>
      </w:sdtPr>
      <w:sdtContent>
        <w:p>
          <w:pPr>
            <w:pStyle w:val="180"/>
            <w:spacing w:before="312" w:beforeLines="100" w:after="686" w:afterLines="220"/>
          </w:pPr>
          <w:bookmarkStart w:id="25" w:name="NEW_STAND_NAME"/>
          <w:r>
            <w:t>"共享社 幸福里"</w:t>
          </w:r>
          <w:r>
            <w:rPr>
              <w:rFonts w:hint="eastAsia"/>
            </w:rPr>
            <w:t>建设规范</w:t>
          </w:r>
        </w:p>
      </w:sdtContent>
    </w:sdt>
    <w:bookmarkEnd w:id="25"/>
    <w:p>
      <w:pPr>
        <w:pStyle w:val="107"/>
        <w:spacing w:before="312" w:after="312"/>
      </w:pPr>
      <w:bookmarkStart w:id="26" w:name="_Toc17233325"/>
      <w:bookmarkStart w:id="27" w:name="_Toc24884218"/>
      <w:bookmarkStart w:id="28" w:name="_Toc26986530"/>
      <w:bookmarkStart w:id="29" w:name="_Toc17233333"/>
      <w:bookmarkStart w:id="30" w:name="_Toc97191423"/>
      <w:bookmarkStart w:id="31" w:name="_Toc26718930"/>
      <w:bookmarkStart w:id="32" w:name="_Toc26986771"/>
      <w:bookmarkStart w:id="33" w:name="_Toc3727"/>
      <w:bookmarkStart w:id="34" w:name="_Toc24884211"/>
      <w:bookmarkStart w:id="35" w:name="_Toc26648465"/>
      <w:r>
        <w:rPr>
          <w:rFonts w:hint="eastAsia"/>
        </w:rPr>
        <w:t>范围</w:t>
      </w:r>
      <w:bookmarkEnd w:id="26"/>
      <w:bookmarkEnd w:id="27"/>
      <w:bookmarkEnd w:id="28"/>
      <w:bookmarkEnd w:id="29"/>
      <w:bookmarkEnd w:id="30"/>
      <w:bookmarkEnd w:id="31"/>
      <w:bookmarkEnd w:id="32"/>
      <w:bookmarkEnd w:id="33"/>
      <w:bookmarkEnd w:id="34"/>
      <w:bookmarkEnd w:id="35"/>
    </w:p>
    <w:p>
      <w:pPr>
        <w:pStyle w:val="59"/>
      </w:pPr>
      <w:bookmarkStart w:id="36" w:name="_Toc24884219"/>
      <w:bookmarkStart w:id="37" w:name="_Toc17233326"/>
      <w:bookmarkStart w:id="38" w:name="_Toc24884212"/>
      <w:bookmarkStart w:id="39" w:name="_Toc17233334"/>
      <w:bookmarkStart w:id="40" w:name="_Toc26648466"/>
      <w:r>
        <w:rPr>
          <w:rFonts w:hint="eastAsia"/>
        </w:rPr>
        <w:t>本文件规定了“共享社·幸福里”建设的原则、组织建设、队伍建设、服务设施、运行管理以及服务等方面的要求和评价与改进内容。</w:t>
      </w:r>
    </w:p>
    <w:p>
      <w:pPr>
        <w:pStyle w:val="59"/>
      </w:pPr>
      <w:r>
        <w:rPr>
          <w:rFonts w:hint="eastAsia"/>
        </w:rPr>
        <w:t>本文件适用于城市社区、小区开展“共享社·幸福里”的建设，农村居民聚集区参照执行。</w:t>
      </w:r>
    </w:p>
    <w:p>
      <w:pPr>
        <w:pStyle w:val="107"/>
        <w:spacing w:before="312" w:after="312"/>
      </w:pPr>
      <w:bookmarkStart w:id="41" w:name="_Toc26986531"/>
      <w:bookmarkStart w:id="42" w:name="_Toc26718931"/>
      <w:bookmarkStart w:id="43" w:name="_Toc3270"/>
      <w:bookmarkStart w:id="44" w:name="_Toc97191424"/>
      <w:bookmarkStart w:id="45" w:name="_Toc26986772"/>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BAC41B78254F4FD590EA7E3E78E7EBE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pPr>
      <w:r>
        <w:t xml:space="preserve">GB/T 20647 </w:t>
      </w:r>
      <w:r>
        <w:rPr>
          <w:rFonts w:hint="eastAsia"/>
        </w:rPr>
        <w:t>社区服务指南</w:t>
      </w:r>
    </w:p>
    <w:p>
      <w:pPr>
        <w:pStyle w:val="59"/>
      </w:pPr>
      <w:r>
        <w:t>DB3303/T</w:t>
      </w:r>
      <w:r>
        <w:rPr>
          <w:rFonts w:hint="eastAsia"/>
        </w:rPr>
        <w:t xml:space="preserve"> 015—2020 瓯江红党群服务中心建设和运行规范</w:t>
      </w:r>
    </w:p>
    <w:p>
      <w:pPr>
        <w:pStyle w:val="59"/>
      </w:pPr>
      <w:r>
        <w:rPr>
          <w:rFonts w:hint="eastAsia"/>
        </w:rPr>
        <w:t>DB3303/T 042 城乡社区协商操作规程</w:t>
      </w:r>
    </w:p>
    <w:p>
      <w:pPr>
        <w:pStyle w:val="107"/>
        <w:spacing w:before="312" w:after="312"/>
      </w:pPr>
      <w:bookmarkStart w:id="46" w:name="_Toc5256"/>
      <w:bookmarkStart w:id="47" w:name="_Toc97191425"/>
      <w:r>
        <w:rPr>
          <w:rFonts w:hint="eastAsia"/>
          <w:szCs w:val="21"/>
        </w:rPr>
        <w:t>术语与定义</w:t>
      </w:r>
      <w:bookmarkEnd w:id="46"/>
      <w:bookmarkEnd w:id="47"/>
    </w:p>
    <w:sdt>
      <w:sdtPr>
        <w:id w:val="-1909835108"/>
        <w:placeholder>
          <w:docPart w:val="0F4FD9C5CA994740AAF59F8BFEDC52C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pPr>
          <w:bookmarkStart w:id="48" w:name="_Toc26986532"/>
          <w:bookmarkEnd w:id="48"/>
          <w:r>
            <w:t>下列术语和定义适用于本文件。</w:t>
          </w:r>
        </w:p>
      </w:sdtContent>
    </w:sdt>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共享社·幸福里Shared </w:t>
      </w:r>
      <w:r>
        <w:rPr>
          <w:rFonts w:ascii="黑体" w:hAnsi="黑体" w:eastAsia="黑体"/>
        </w:rPr>
        <w:t>C</w:t>
      </w:r>
      <w:r>
        <w:rPr>
          <w:rFonts w:hint="eastAsia" w:ascii="黑体" w:hAnsi="黑体" w:eastAsia="黑体"/>
        </w:rPr>
        <w:t>ommunity· Happiness Lane</w:t>
      </w:r>
    </w:p>
    <w:p>
      <w:pPr>
        <w:pStyle w:val="59"/>
      </w:pPr>
      <w:r>
        <w:rPr>
          <w:rFonts w:hint="eastAsia"/>
        </w:rPr>
        <w:t>以增强群众获得感幸福感安全感为导向，实行多元共治、阵地共用、事务共办、资源共享，构建形成的组织体系健全、阵地设施齐备、便民惠民长效、共建共享有力、治理机制完善的社区（小区）。</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社会组织 social organization</w:t>
      </w:r>
    </w:p>
    <w:p>
      <w:pPr>
        <w:pStyle w:val="59"/>
      </w:pPr>
      <w:r>
        <w:rPr>
          <w:rFonts w:hint="eastAsia"/>
        </w:rPr>
        <w:t>依据社会组织登记管理法律法规登记的社会团体、基金会和社会服务机构。</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社区社会组织 community social organization</w:t>
      </w:r>
    </w:p>
    <w:p>
      <w:pPr>
        <w:pStyle w:val="59"/>
      </w:pPr>
      <w:r>
        <w:rPr>
          <w:rFonts w:hint="eastAsia"/>
        </w:rPr>
        <w:t>由社区居民发起成立，在城乡社区开展为民服务、公益慈善、邻里互助、文体娱乐和农村生产技术服务等活动的社会组织。</w:t>
      </w:r>
    </w:p>
    <w:p>
      <w:pPr>
        <w:pStyle w:val="182"/>
      </w:pPr>
      <w:r>
        <w:rPr>
          <w:rFonts w:hint="eastAsia"/>
        </w:rPr>
        <w:t>社区社会组织分为具备法人资格的社区社会组织和不具备法人资格的社区社会组织。</w:t>
      </w:r>
    </w:p>
    <w:p>
      <w:pPr>
        <w:pStyle w:val="107"/>
        <w:spacing w:before="312" w:after="312"/>
      </w:pPr>
      <w:bookmarkStart w:id="49" w:name="_Toc2942"/>
      <w:r>
        <w:rPr>
          <w:rFonts w:hint="eastAsia"/>
        </w:rPr>
        <w:t>原则</w:t>
      </w:r>
      <w:bookmarkEnd w:id="49"/>
    </w:p>
    <w:p>
      <w:pPr>
        <w:pStyle w:val="108"/>
        <w:numPr>
          <w:ilvl w:val="0"/>
          <w:numId w:val="0"/>
        </w:numPr>
      </w:pPr>
      <w:bookmarkStart w:id="50" w:name="_Toc149910815"/>
      <w:bookmarkStart w:id="51" w:name="_Toc31640"/>
      <w:bookmarkStart w:id="52" w:name="_Toc133161430"/>
      <w:bookmarkStart w:id="53" w:name="_Toc135229140"/>
      <w:bookmarkStart w:id="54" w:name="_Toc146011096"/>
      <w:bookmarkStart w:id="55" w:name="_Toc76"/>
      <w:bookmarkStart w:id="56" w:name="_Toc138928772"/>
      <w:bookmarkStart w:id="57" w:name="_Toc148694834"/>
      <w:r>
        <w:rPr>
          <w:rFonts w:hint="eastAsia"/>
        </w:rPr>
        <w:t>4.1党建引领</w:t>
      </w:r>
      <w:bookmarkEnd w:id="50"/>
      <w:bookmarkEnd w:id="51"/>
      <w:bookmarkEnd w:id="52"/>
      <w:bookmarkEnd w:id="53"/>
      <w:bookmarkEnd w:id="54"/>
      <w:bookmarkEnd w:id="55"/>
      <w:bookmarkEnd w:id="56"/>
      <w:bookmarkEnd w:id="57"/>
    </w:p>
    <w:p>
      <w:pPr>
        <w:pStyle w:val="59"/>
      </w:pPr>
      <w:r>
        <w:rPr>
          <w:rFonts w:hint="eastAsia"/>
        </w:rPr>
        <w:t>突出党建引领，加强统筹协调，建强基层组织，通过“选好人、立好章、办好事、压好责、连好心”，不断提升 “共享社·幸福里”建设的能力和水平。</w:t>
      </w:r>
    </w:p>
    <w:p>
      <w:pPr>
        <w:pStyle w:val="108"/>
        <w:numPr>
          <w:ilvl w:val="0"/>
          <w:numId w:val="0"/>
        </w:numPr>
      </w:pPr>
      <w:bookmarkStart w:id="58" w:name="_Toc146011097"/>
      <w:bookmarkStart w:id="59" w:name="_Toc149910816"/>
      <w:bookmarkStart w:id="60" w:name="_Toc148694835"/>
      <w:bookmarkStart w:id="61" w:name="_Toc27975"/>
      <w:bookmarkStart w:id="62" w:name="_Toc24862"/>
      <w:bookmarkStart w:id="63" w:name="_Toc135229141"/>
      <w:bookmarkStart w:id="64" w:name="_Toc133161431"/>
      <w:bookmarkStart w:id="65" w:name="_Toc138928773"/>
      <w:r>
        <w:rPr>
          <w:rFonts w:hint="eastAsia"/>
        </w:rPr>
        <w:t>4.2</w:t>
      </w:r>
      <w:bookmarkEnd w:id="58"/>
      <w:r>
        <w:rPr>
          <w:rFonts w:hint="eastAsia"/>
        </w:rPr>
        <w:t>居民自治</w:t>
      </w:r>
      <w:bookmarkEnd w:id="59"/>
      <w:bookmarkEnd w:id="60"/>
      <w:bookmarkEnd w:id="61"/>
      <w:bookmarkEnd w:id="62"/>
    </w:p>
    <w:p>
      <w:pPr>
        <w:pStyle w:val="59"/>
      </w:pPr>
      <w:r>
        <w:rPr>
          <w:rFonts w:hint="eastAsia"/>
        </w:rPr>
        <w:t>突出居民主人翁意识，引导居民理解配合支持、主动参与，发挥居民积极性和创造性，实现居民自治。</w:t>
      </w:r>
    </w:p>
    <w:p>
      <w:pPr>
        <w:pStyle w:val="108"/>
        <w:numPr>
          <w:ilvl w:val="0"/>
          <w:numId w:val="0"/>
        </w:numPr>
      </w:pPr>
      <w:bookmarkStart w:id="66" w:name="_Toc146011098"/>
      <w:bookmarkStart w:id="67" w:name="_Toc149910817"/>
      <w:bookmarkStart w:id="68" w:name="_Toc20339"/>
      <w:bookmarkStart w:id="69" w:name="_Toc148694836"/>
      <w:bookmarkStart w:id="70" w:name="_Toc17177"/>
      <w:r>
        <w:rPr>
          <w:rFonts w:hint="eastAsia"/>
        </w:rPr>
        <w:t>4.3共建</w:t>
      </w:r>
      <w:bookmarkEnd w:id="63"/>
      <w:bookmarkEnd w:id="64"/>
      <w:r>
        <w:rPr>
          <w:rFonts w:hint="eastAsia"/>
        </w:rPr>
        <w:t>共享</w:t>
      </w:r>
      <w:bookmarkEnd w:id="65"/>
      <w:bookmarkEnd w:id="66"/>
      <w:bookmarkEnd w:id="67"/>
      <w:bookmarkEnd w:id="68"/>
      <w:bookmarkEnd w:id="69"/>
      <w:bookmarkEnd w:id="70"/>
    </w:p>
    <w:p>
      <w:pPr>
        <w:pStyle w:val="59"/>
      </w:pPr>
      <w:r>
        <w:rPr>
          <w:rFonts w:hint="eastAsia"/>
          <w:shd w:val="clear" w:color="auto" w:fill="FFFFFF"/>
        </w:rPr>
        <w:t>组织机关企事业单位、群团组织、小区业委会、物业服务企业、社会组织和党员干部、社区工作者、居民群众等各方面力量，统筹推进事务共办、阵地共用、多元共治、资源共享，打造</w:t>
      </w:r>
      <w:r>
        <w:rPr>
          <w:rFonts w:hint="eastAsia"/>
        </w:rPr>
        <w:t>共建共享的幸福场景。</w:t>
      </w:r>
    </w:p>
    <w:p>
      <w:pPr>
        <w:pStyle w:val="108"/>
        <w:numPr>
          <w:ilvl w:val="0"/>
          <w:numId w:val="0"/>
        </w:numPr>
      </w:pPr>
      <w:bookmarkStart w:id="71" w:name="_Toc19384"/>
      <w:bookmarkStart w:id="72" w:name="_Toc1089"/>
      <w:bookmarkStart w:id="73" w:name="_Toc149910818"/>
      <w:bookmarkStart w:id="74" w:name="_Toc148694837"/>
      <w:bookmarkStart w:id="75" w:name="_Toc138928774"/>
      <w:bookmarkStart w:id="76" w:name="_Toc146011099"/>
      <w:r>
        <w:rPr>
          <w:rFonts w:hint="eastAsia"/>
        </w:rPr>
        <w:t>4.4便民利民</w:t>
      </w:r>
      <w:bookmarkEnd w:id="71"/>
      <w:bookmarkEnd w:id="72"/>
      <w:bookmarkEnd w:id="73"/>
      <w:bookmarkEnd w:id="74"/>
      <w:bookmarkEnd w:id="75"/>
      <w:bookmarkEnd w:id="76"/>
    </w:p>
    <w:p>
      <w:pPr>
        <w:pStyle w:val="59"/>
      </w:pPr>
      <w:r>
        <w:rPr>
          <w:rFonts w:hint="eastAsia"/>
        </w:rPr>
        <w:t>坚持从居民需求出发，不断满足居民的多元化需求，满足居民对美好生活的向往，提高居民生活幸福感。</w:t>
      </w:r>
    </w:p>
    <w:p>
      <w:pPr>
        <w:pStyle w:val="108"/>
        <w:numPr>
          <w:ilvl w:val="0"/>
          <w:numId w:val="0"/>
        </w:numPr>
      </w:pPr>
      <w:bookmarkStart w:id="77" w:name="_Toc149910819"/>
      <w:bookmarkStart w:id="78" w:name="_Toc28208"/>
      <w:bookmarkStart w:id="79" w:name="_Toc21820"/>
      <w:bookmarkStart w:id="80" w:name="_Toc148694838"/>
      <w:bookmarkStart w:id="81" w:name="_Toc146011100"/>
      <w:r>
        <w:rPr>
          <w:rFonts w:hint="eastAsia"/>
        </w:rPr>
        <w:t>4.5因地制宜</w:t>
      </w:r>
      <w:bookmarkEnd w:id="77"/>
      <w:bookmarkEnd w:id="78"/>
      <w:bookmarkEnd w:id="79"/>
      <w:bookmarkEnd w:id="80"/>
      <w:bookmarkEnd w:id="81"/>
    </w:p>
    <w:p>
      <w:pPr>
        <w:pStyle w:val="59"/>
      </w:pPr>
      <w:r>
        <w:rPr>
          <w:rFonts w:hint="eastAsia"/>
          <w:shd w:val="clear" w:color="auto" w:fill="FFFFFF"/>
        </w:rPr>
        <w:t>坚持实事求是、实用管用，推动“共享社·幸福里”建设与现有需求、可链接资源相适配，强化整体营造、突出地方特色</w:t>
      </w:r>
      <w:r>
        <w:rPr>
          <w:rFonts w:hint="eastAsia"/>
        </w:rPr>
        <w:t>。</w:t>
      </w:r>
    </w:p>
    <w:p>
      <w:pPr>
        <w:pStyle w:val="107"/>
        <w:spacing w:before="312" w:after="312"/>
      </w:pPr>
      <w:bookmarkStart w:id="82" w:name="_Toc18856"/>
      <w:r>
        <w:rPr>
          <w:rFonts w:hint="eastAsia"/>
        </w:rPr>
        <w:t>组织建设</w:t>
      </w:r>
      <w:bookmarkEnd w:id="82"/>
    </w:p>
    <w:p>
      <w:pPr>
        <w:pStyle w:val="108"/>
      </w:pPr>
      <w:bookmarkStart w:id="83" w:name="_Toc4923"/>
      <w:bookmarkStart w:id="84" w:name="_Toc21928"/>
      <w:r>
        <w:rPr>
          <w:rFonts w:hint="eastAsia"/>
        </w:rPr>
        <w:t>组织框架</w:t>
      </w:r>
      <w:bookmarkEnd w:id="83"/>
      <w:bookmarkEnd w:id="84"/>
    </w:p>
    <w:p>
      <w:pPr>
        <w:pStyle w:val="59"/>
      </w:pPr>
      <w:r>
        <w:rPr>
          <w:rFonts w:hint="eastAsia"/>
        </w:rPr>
        <w:t>应建立党建引领下的社区居委会、小区业委会、物业服务组织以及社会组织等其他组织力量等参与的组织体系。</w:t>
      </w:r>
    </w:p>
    <w:p>
      <w:pPr>
        <w:pStyle w:val="182"/>
      </w:pPr>
      <w:r>
        <w:rPr>
          <w:rFonts w:hint="eastAsia"/>
        </w:rPr>
        <w:t xml:space="preserve"> 其他组织力量包括但不限于社会组织、机关企事业单位、个人等。 </w:t>
      </w:r>
    </w:p>
    <w:p>
      <w:pPr>
        <w:pStyle w:val="108"/>
      </w:pPr>
      <w:bookmarkStart w:id="85" w:name="_Toc24907"/>
      <w:bookmarkStart w:id="86" w:name="_Toc5777"/>
      <w:bookmarkStart w:id="87" w:name="_Toc149910823"/>
      <w:r>
        <w:rPr>
          <w:rFonts w:hint="eastAsia"/>
        </w:rPr>
        <w:t>社区居委会</w:t>
      </w:r>
      <w:bookmarkEnd w:id="85"/>
      <w:bookmarkEnd w:id="86"/>
      <w:bookmarkEnd w:id="87"/>
    </w:p>
    <w:p>
      <w:pPr>
        <w:pStyle w:val="59"/>
      </w:pPr>
      <w:r>
        <w:rPr>
          <w:rFonts w:hint="eastAsia"/>
        </w:rPr>
        <w:t>应在党组织领导下，在“共享社·幸福里”建设中承担统筹、指导工作，包括但不限于：</w:t>
      </w:r>
    </w:p>
    <w:p>
      <w:pPr>
        <w:pStyle w:val="135"/>
      </w:pPr>
      <w:r>
        <w:rPr>
          <w:rFonts w:hint="eastAsia"/>
          <w:shd w:val="clear" w:color="auto" w:fill="FFFFFF"/>
        </w:rPr>
        <w:t>指导建设小区业委会；</w:t>
      </w:r>
    </w:p>
    <w:p>
      <w:pPr>
        <w:pStyle w:val="135"/>
      </w:pPr>
      <w:r>
        <w:rPr>
          <w:rFonts w:hint="eastAsia"/>
        </w:rPr>
        <w:t>聚焦居民需求，规划、建设提升符合居民期待的功能场景；</w:t>
      </w:r>
    </w:p>
    <w:p>
      <w:pPr>
        <w:pStyle w:val="135"/>
      </w:pPr>
      <w:r>
        <w:rPr>
          <w:rFonts w:hint="eastAsia"/>
          <w:shd w:val="clear" w:color="auto" w:fill="FFFFFF"/>
        </w:rPr>
        <w:t>指导小区业委会、物业服务企业等提供符合居民期望的服务，共同开展各项活动；</w:t>
      </w:r>
    </w:p>
    <w:p>
      <w:pPr>
        <w:pStyle w:val="135"/>
      </w:pPr>
      <w:r>
        <w:rPr>
          <w:rFonts w:hint="eastAsia"/>
          <w:shd w:val="clear" w:color="auto" w:fill="FFFFFF"/>
        </w:rPr>
        <w:t>对接、统筹各方资源和力量，形成共建共治共享格局；</w:t>
      </w:r>
    </w:p>
    <w:p>
      <w:pPr>
        <w:pStyle w:val="135"/>
      </w:pPr>
      <w:r>
        <w:rPr>
          <w:rFonts w:hint="eastAsia"/>
        </w:rPr>
        <w:t>引导社区社会组织发展：</w:t>
      </w:r>
    </w:p>
    <w:p>
      <w:pPr>
        <w:pStyle w:val="190"/>
      </w:pPr>
      <w:r>
        <w:rPr>
          <w:rFonts w:hint="eastAsia"/>
        </w:rPr>
        <w:t>设立发展基金会，公益慈善基金应用于支持困难群体帮扶、社区融合、志愿服务等公益项目；</w:t>
      </w:r>
    </w:p>
    <w:p>
      <w:pPr>
        <w:pStyle w:val="190"/>
      </w:pPr>
      <w:r>
        <w:rPr>
          <w:rFonts w:hint="eastAsia"/>
          <w:shd w:val="clear" w:color="auto" w:fill="FFFFFF"/>
        </w:rPr>
        <w:t>引导小区、社区兴趣小组、志愿服务队、帮帮团等组织备案为社区社会组织；</w:t>
      </w:r>
    </w:p>
    <w:p>
      <w:pPr>
        <w:pStyle w:val="190"/>
      </w:pPr>
      <w:r>
        <w:rPr>
          <w:rFonts w:hint="eastAsia"/>
        </w:rPr>
        <w:t>利用闲置的宾馆、办公用房、福利设施等资产为社区社会组织开展公益活动提供场所。</w:t>
      </w:r>
    </w:p>
    <w:p>
      <w:pPr>
        <w:pStyle w:val="135"/>
      </w:pPr>
      <w:r>
        <w:rPr>
          <w:rFonts w:hint="eastAsia"/>
        </w:rPr>
        <w:t>扶持志愿服务组织发展：</w:t>
      </w:r>
    </w:p>
    <w:p>
      <w:pPr>
        <w:pStyle w:val="190"/>
      </w:pPr>
      <w:r>
        <w:rPr>
          <w:rFonts w:hint="eastAsia"/>
        </w:rPr>
        <w:t>整合志愿服务组织、相关驻区单位、社会组织、专职社工、网格员等资源形成社区志愿队伍；</w:t>
      </w:r>
    </w:p>
    <w:p>
      <w:pPr>
        <w:pStyle w:val="190"/>
      </w:pPr>
      <w:r>
        <w:rPr>
          <w:rFonts w:hint="eastAsia"/>
        </w:rPr>
        <w:t>建设志愿服务积分激励机制，通过志愿服务频次、时长等兑换奖品等形式激发志愿者积极性；</w:t>
      </w:r>
    </w:p>
    <w:p>
      <w:pPr>
        <w:pStyle w:val="190"/>
      </w:pPr>
      <w:r>
        <w:rPr>
          <w:rFonts w:hint="eastAsia"/>
        </w:rPr>
        <w:t>建设志愿服务组织孵化基地。</w:t>
      </w:r>
    </w:p>
    <w:p>
      <w:pPr>
        <w:pStyle w:val="135"/>
      </w:pPr>
      <w:r>
        <w:rPr>
          <w:rFonts w:hint="eastAsia"/>
          <w:shd w:val="clear" w:color="auto" w:fill="FFFFFF"/>
        </w:rPr>
        <w:t>引导居民参与“共享社·幸福里”建设。</w:t>
      </w:r>
    </w:p>
    <w:p>
      <w:pPr>
        <w:pStyle w:val="108"/>
      </w:pPr>
      <w:bookmarkStart w:id="88" w:name="_Toc148694842"/>
      <w:bookmarkStart w:id="89" w:name="_Toc149910824"/>
      <w:bookmarkStart w:id="90" w:name="_Toc144457554"/>
      <w:bookmarkStart w:id="91" w:name="_Toc11560"/>
      <w:bookmarkStart w:id="92" w:name="_Toc146011103"/>
      <w:bookmarkStart w:id="93" w:name="_Toc138928778"/>
      <w:bookmarkStart w:id="94" w:name="_Toc20567"/>
      <w:r>
        <w:rPr>
          <w:rFonts w:hint="eastAsia"/>
        </w:rPr>
        <w:t>小区业委会</w:t>
      </w:r>
      <w:bookmarkEnd w:id="88"/>
      <w:bookmarkEnd w:id="89"/>
      <w:bookmarkEnd w:id="90"/>
      <w:bookmarkEnd w:id="91"/>
      <w:bookmarkEnd w:id="92"/>
      <w:bookmarkEnd w:id="93"/>
      <w:bookmarkEnd w:id="94"/>
    </w:p>
    <w:p>
      <w:pPr>
        <w:pStyle w:val="168"/>
        <w:rPr>
          <w:shd w:val="clear" w:color="auto" w:fill="FFFFFF"/>
        </w:rPr>
      </w:pPr>
      <w:r>
        <w:rPr>
          <w:rFonts w:hint="eastAsia"/>
          <w:shd w:val="clear" w:color="auto" w:fill="FFFFFF"/>
        </w:rPr>
        <w:t>应在“共享社·幸福里”建设中承担组织建设职能，包括但不限于：</w:t>
      </w:r>
    </w:p>
    <w:p>
      <w:pPr>
        <w:pStyle w:val="135"/>
        <w:rPr>
          <w:shd w:val="clear" w:color="auto" w:fill="FFFFFF"/>
        </w:rPr>
      </w:pPr>
      <w:r>
        <w:rPr>
          <w:rFonts w:hint="eastAsia"/>
          <w:shd w:val="clear" w:color="auto" w:fill="FFFFFF"/>
        </w:rPr>
        <w:t>执行“共享社·幸福里”建设的有关制度（见8.1、8.2和8.3）；</w:t>
      </w:r>
    </w:p>
    <w:p>
      <w:pPr>
        <w:pStyle w:val="135"/>
        <w:rPr>
          <w:shd w:val="clear" w:color="auto" w:fill="FFFFFF"/>
        </w:rPr>
      </w:pPr>
      <w:r>
        <w:rPr>
          <w:rFonts w:hint="eastAsia"/>
          <w:shd w:val="clear" w:color="auto" w:fill="FFFFFF"/>
        </w:rPr>
        <w:t>统筹小区内资源，打造服务场景；</w:t>
      </w:r>
    </w:p>
    <w:p>
      <w:pPr>
        <w:pStyle w:val="135"/>
        <w:rPr>
          <w:shd w:val="clear" w:color="auto" w:fill="FFFFFF"/>
        </w:rPr>
      </w:pPr>
      <w:r>
        <w:rPr>
          <w:rFonts w:hint="eastAsia"/>
          <w:shd w:val="clear" w:color="auto" w:fill="FFFFFF"/>
        </w:rPr>
        <w:t>帮助协调解决居民问题；</w:t>
      </w:r>
    </w:p>
    <w:p>
      <w:pPr>
        <w:pStyle w:val="135"/>
        <w:rPr>
          <w:shd w:val="clear" w:color="auto" w:fill="FFFFFF"/>
        </w:rPr>
      </w:pPr>
      <w:r>
        <w:rPr>
          <w:rFonts w:hint="eastAsia"/>
          <w:shd w:val="clear" w:color="auto" w:fill="FFFFFF"/>
        </w:rPr>
        <w:t>监督物业服务企业为居民提供高品质服务；</w:t>
      </w:r>
    </w:p>
    <w:p>
      <w:pPr>
        <w:pStyle w:val="135"/>
        <w:rPr>
          <w:shd w:val="clear" w:color="auto" w:fill="FFFFFF"/>
        </w:rPr>
      </w:pPr>
      <w:r>
        <w:rPr>
          <w:rFonts w:hint="eastAsia"/>
          <w:shd w:val="clear" w:color="auto" w:fill="FFFFFF"/>
        </w:rPr>
        <w:t>配合职能部门站所开展联合执法进小区、垃圾分类、创建智慧安防小区等活动。</w:t>
      </w:r>
    </w:p>
    <w:p>
      <w:pPr>
        <w:pStyle w:val="168"/>
      </w:pPr>
      <w:r>
        <w:rPr>
          <w:rFonts w:hint="eastAsia"/>
        </w:rPr>
        <w:t>应在街道、社区指导和监督下，在小区业委会换届3个月前协助做好换届准备工作，宜将小区业委会成员任职资格条件及负面清单写入业主（代表）大会议事规则。</w:t>
      </w:r>
    </w:p>
    <w:p>
      <w:pPr>
        <w:pStyle w:val="168"/>
        <w:rPr>
          <w:kern w:val="2"/>
          <w:szCs w:val="21"/>
        </w:rPr>
      </w:pPr>
      <w:r>
        <w:rPr>
          <w:rFonts w:hint="eastAsia"/>
          <w:shd w:val="clear" w:color="auto" w:fill="FFFFFF"/>
        </w:rPr>
        <w:t>宜实行</w:t>
      </w:r>
      <w:r>
        <w:rPr>
          <w:rFonts w:hint="eastAsia"/>
        </w:rPr>
        <w:t>小区党组织、小区业委会“双向进入、交叉任职”</w:t>
      </w:r>
      <w:r>
        <w:rPr>
          <w:rFonts w:hint="eastAsia"/>
          <w:shd w:val="clear" w:color="auto" w:fill="FFFFFF"/>
        </w:rPr>
        <w:t>。</w:t>
      </w:r>
    </w:p>
    <w:p>
      <w:pPr>
        <w:pStyle w:val="108"/>
      </w:pPr>
      <w:bookmarkStart w:id="95" w:name="_Toc146011104"/>
      <w:bookmarkStart w:id="96" w:name="_Toc148694843"/>
      <w:bookmarkStart w:id="97" w:name="_Toc135229146"/>
      <w:bookmarkStart w:id="98" w:name="_Toc133161436"/>
      <w:bookmarkStart w:id="99" w:name="_Toc144457555"/>
      <w:bookmarkStart w:id="100" w:name="_Toc138928779"/>
      <w:bookmarkStart w:id="101" w:name="_Toc17458"/>
      <w:bookmarkStart w:id="102" w:name="_Toc27293"/>
      <w:bookmarkStart w:id="103" w:name="_Toc149910825"/>
      <w:r>
        <w:rPr>
          <w:rFonts w:hint="eastAsia"/>
        </w:rPr>
        <w:t>物业服务</w:t>
      </w:r>
      <w:bookmarkEnd w:id="95"/>
      <w:bookmarkEnd w:id="96"/>
      <w:bookmarkEnd w:id="97"/>
      <w:bookmarkEnd w:id="98"/>
      <w:bookmarkEnd w:id="99"/>
      <w:bookmarkEnd w:id="100"/>
      <w:r>
        <w:rPr>
          <w:rFonts w:hint="eastAsia"/>
        </w:rPr>
        <w:t>组织</w:t>
      </w:r>
      <w:bookmarkEnd w:id="101"/>
      <w:bookmarkEnd w:id="102"/>
      <w:bookmarkEnd w:id="103"/>
    </w:p>
    <w:p>
      <w:pPr>
        <w:pStyle w:val="168"/>
      </w:pPr>
      <w:r>
        <w:rPr>
          <w:rFonts w:hint="eastAsia"/>
        </w:rPr>
        <w:t>应按照约定和物业的使用性质，维修、养护、清洁、绿化和经营管理物业管理区域内的共有部分，维护物业管理区域内的基本秩序。</w:t>
      </w:r>
    </w:p>
    <w:p>
      <w:pPr>
        <w:pStyle w:val="168"/>
        <w:rPr>
          <w:sz w:val="24"/>
          <w:szCs w:val="24"/>
        </w:rPr>
      </w:pPr>
      <w:r>
        <w:rPr>
          <w:rFonts w:hint="eastAsia"/>
        </w:rPr>
        <w:t>宜与社区合作，以进驻社区或与社区共同成立物业服务企业等方式提供专业化物业服务，参与“共享社·幸福里”运营。</w:t>
      </w:r>
    </w:p>
    <w:p>
      <w:pPr>
        <w:pStyle w:val="168"/>
      </w:pPr>
      <w:r>
        <w:rPr>
          <w:rFonts w:hint="eastAsia"/>
        </w:rPr>
        <w:t>宜与养老、托幼、托育、家政等社区生活服务相结合，为业主提供家政、购物等服务，为老年人、婴幼儿开展助餐、助浴、助洁、助急、助行、助医、照料看护、定期巡访等服务。</w:t>
      </w:r>
    </w:p>
    <w:p>
      <w:pPr>
        <w:pStyle w:val="168"/>
        <w:rPr>
          <w:sz w:val="24"/>
          <w:szCs w:val="24"/>
        </w:rPr>
      </w:pPr>
      <w:r>
        <w:rPr>
          <w:rFonts w:hint="eastAsia"/>
        </w:rPr>
        <w:t>宜拓宽服务范围，扩展公共车位管理、社区资产管理等业务，参与治安管理、公共服务等涉及居民群众切身利益的基层治理工作。</w:t>
      </w:r>
    </w:p>
    <w:p>
      <w:pPr>
        <w:pStyle w:val="108"/>
      </w:pPr>
      <w:bookmarkStart w:id="104" w:name="_Toc144457556"/>
      <w:bookmarkStart w:id="105" w:name="_Toc31331"/>
      <w:bookmarkStart w:id="106" w:name="_Toc138928780"/>
      <w:bookmarkStart w:id="107" w:name="_Toc146011105"/>
      <w:bookmarkStart w:id="108" w:name="_Toc148694844"/>
      <w:bookmarkStart w:id="109" w:name="_Toc19508"/>
      <w:bookmarkStart w:id="110" w:name="_Toc149910826"/>
      <w:r>
        <w:rPr>
          <w:rFonts w:hint="eastAsia"/>
        </w:rPr>
        <w:t>社区社会组织</w:t>
      </w:r>
      <w:bookmarkEnd w:id="104"/>
      <w:bookmarkEnd w:id="105"/>
      <w:bookmarkEnd w:id="106"/>
      <w:bookmarkEnd w:id="107"/>
      <w:bookmarkEnd w:id="108"/>
      <w:bookmarkEnd w:id="109"/>
      <w:bookmarkEnd w:id="110"/>
    </w:p>
    <w:p>
      <w:pPr>
        <w:pStyle w:val="168"/>
        <w:rPr>
          <w:sz w:val="32"/>
          <w:szCs w:val="32"/>
        </w:rPr>
      </w:pPr>
      <w:r>
        <w:rPr>
          <w:rFonts w:hint="eastAsia"/>
        </w:rPr>
        <w:t>为民服务、公益慈善、邻里互助、文体娱乐等领域社区社会组织应积极参与“共享社·幸福里”建设。</w:t>
      </w:r>
    </w:p>
    <w:p>
      <w:pPr>
        <w:pStyle w:val="168"/>
        <w:rPr>
          <w:sz w:val="32"/>
          <w:szCs w:val="32"/>
        </w:rPr>
      </w:pPr>
      <w:r>
        <w:rPr>
          <w:rFonts w:hint="eastAsia"/>
          <w:shd w:val="clear" w:color="auto" w:fill="FFFFFF"/>
        </w:rPr>
        <w:t>应在开展活动中了解、反映居民诉求，发现苗头性、倾向性的风险矛盾及时向社区居委会或者政府机关反映，宜配合社会矛盾纠纷调处化解中心完成化解矛盾纠纷工作。</w:t>
      </w:r>
    </w:p>
    <w:p>
      <w:pPr>
        <w:pStyle w:val="168"/>
        <w:rPr>
          <w:sz w:val="32"/>
          <w:szCs w:val="32"/>
        </w:rPr>
      </w:pPr>
      <w:r>
        <w:rPr>
          <w:rFonts w:hint="eastAsia"/>
          <w:shd w:val="clear" w:color="auto" w:fill="FFFFFF"/>
        </w:rPr>
        <w:t>宜参与所在社区的网格管理工作，加强与网格员的联系，根据自身情况提供便民服务。</w:t>
      </w:r>
    </w:p>
    <w:p>
      <w:pPr>
        <w:pStyle w:val="168"/>
      </w:pPr>
      <w:r>
        <w:rPr>
          <w:rFonts w:hint="eastAsia"/>
        </w:rPr>
        <w:t>宜挖掘社区工作者和本土热心居民等能人或带头人，整合社会资源，引导其参与社区社会组织工作。</w:t>
      </w:r>
    </w:p>
    <w:p>
      <w:pPr>
        <w:pStyle w:val="168"/>
        <w:rPr>
          <w:sz w:val="32"/>
          <w:szCs w:val="32"/>
        </w:rPr>
      </w:pPr>
      <w:r>
        <w:rPr>
          <w:rFonts w:hint="eastAsia"/>
          <w:shd w:val="clear" w:color="auto" w:fill="FFFFFF"/>
        </w:rPr>
        <w:t>宜运用现代信息技术，参与城乡社区数字治理。</w:t>
      </w:r>
    </w:p>
    <w:p>
      <w:pPr>
        <w:pStyle w:val="168"/>
        <w:rPr>
          <w:sz w:val="32"/>
          <w:szCs w:val="32"/>
        </w:rPr>
      </w:pPr>
      <w:r>
        <w:rPr>
          <w:rFonts w:hint="eastAsia"/>
        </w:rPr>
        <w:t>社区社会组织平均活跃度应在60%以上。</w:t>
      </w:r>
    </w:p>
    <w:p>
      <w:pPr>
        <w:pStyle w:val="182"/>
      </w:pPr>
      <w:r>
        <w:rPr>
          <w:rFonts w:hint="eastAsia"/>
        </w:rPr>
        <w:t>社区社会组织平均活跃度计算公式为：社区社会组织活跃数量除以在辖区内已于省民政厅社区社会组织备案管理系统备案的社区社会组织数量。</w:t>
      </w:r>
    </w:p>
    <w:p>
      <w:pPr>
        <w:pStyle w:val="107"/>
        <w:spacing w:before="312" w:after="312"/>
      </w:pPr>
      <w:bookmarkStart w:id="111" w:name="_Toc25689"/>
      <w:r>
        <w:rPr>
          <w:rFonts w:hint="eastAsia"/>
        </w:rPr>
        <w:t>工作队伍建设</w:t>
      </w:r>
      <w:bookmarkEnd w:id="111"/>
    </w:p>
    <w:p>
      <w:pPr>
        <w:pStyle w:val="108"/>
      </w:pPr>
      <w:bookmarkStart w:id="112" w:name="_Toc135229149"/>
      <w:bookmarkStart w:id="113" w:name="_Toc17801"/>
      <w:bookmarkStart w:id="114" w:name="_Toc148694846"/>
      <w:bookmarkStart w:id="115" w:name="_Toc22607"/>
      <w:bookmarkStart w:id="116" w:name="_Toc144457558"/>
      <w:bookmarkStart w:id="117" w:name="_Toc146011107"/>
      <w:bookmarkStart w:id="118" w:name="_Toc133161439"/>
      <w:bookmarkStart w:id="119" w:name="_Toc138928782"/>
      <w:bookmarkStart w:id="120" w:name="_Toc149910828"/>
      <w:r>
        <w:rPr>
          <w:rFonts w:hint="eastAsia"/>
        </w:rPr>
        <w:t>专职社区工作者</w:t>
      </w:r>
      <w:bookmarkEnd w:id="112"/>
      <w:bookmarkEnd w:id="113"/>
      <w:bookmarkEnd w:id="114"/>
      <w:bookmarkEnd w:id="115"/>
      <w:bookmarkEnd w:id="116"/>
      <w:bookmarkEnd w:id="117"/>
      <w:bookmarkEnd w:id="118"/>
      <w:bookmarkEnd w:id="119"/>
      <w:bookmarkEnd w:id="120"/>
    </w:p>
    <w:p>
      <w:pPr>
        <w:pStyle w:val="168"/>
      </w:pPr>
      <w:r>
        <w:rPr>
          <w:rFonts w:hint="eastAsia"/>
        </w:rPr>
        <w:t>应根据社区要求，开展“共享社·幸福里”建设工作，包括但不限于：</w:t>
      </w:r>
    </w:p>
    <w:p>
      <w:pPr>
        <w:pStyle w:val="135"/>
      </w:pPr>
      <w:r>
        <w:rPr>
          <w:rFonts w:hint="eastAsia"/>
        </w:rPr>
        <w:t>组织居民开展自治、民主协商、精神文明建设等活动；</w:t>
      </w:r>
    </w:p>
    <w:p>
      <w:pPr>
        <w:pStyle w:val="135"/>
      </w:pPr>
      <w:r>
        <w:rPr>
          <w:rFonts w:hint="eastAsia"/>
        </w:rPr>
        <w:t>落实包片联户、包网入户等网格化服务管理制度；</w:t>
      </w:r>
    </w:p>
    <w:p>
      <w:pPr>
        <w:pStyle w:val="135"/>
      </w:pPr>
      <w:r>
        <w:rPr>
          <w:rFonts w:hint="eastAsia"/>
        </w:rPr>
        <w:t>支持社会组织和社会力量开展便民利民和志愿互助服务。</w:t>
      </w:r>
    </w:p>
    <w:p>
      <w:pPr>
        <w:pStyle w:val="168"/>
      </w:pPr>
      <w:r>
        <w:rPr>
          <w:rFonts w:hint="eastAsia"/>
          <w:shd w:val="clear" w:color="auto" w:fill="FFFFFF"/>
        </w:rPr>
        <w:t>应积极参加培训，提升业务水平：</w:t>
      </w:r>
    </w:p>
    <w:p>
      <w:pPr>
        <w:pStyle w:val="135"/>
      </w:pPr>
      <w:r>
        <w:rPr>
          <w:rFonts w:hint="eastAsia"/>
          <w:shd w:val="clear" w:color="auto" w:fill="FFFFFF"/>
        </w:rPr>
        <w:t>新进专职社区工作者应接受不少于3天的集中脱产培训；</w:t>
      </w:r>
    </w:p>
    <w:p>
      <w:pPr>
        <w:pStyle w:val="135"/>
      </w:pPr>
      <w:r>
        <w:rPr>
          <w:rFonts w:hint="eastAsia"/>
          <w:shd w:val="clear" w:color="auto" w:fill="FFFFFF"/>
        </w:rPr>
        <w:t>现有专职社区工作者每年应轮训1遍，每人每年累计培训不少于5天。</w:t>
      </w:r>
    </w:p>
    <w:p>
      <w:pPr>
        <w:pStyle w:val="168"/>
      </w:pPr>
      <w:r>
        <w:rPr>
          <w:rFonts w:hint="eastAsia"/>
          <w:shd w:val="clear" w:color="auto" w:fill="FFFFFF"/>
        </w:rPr>
        <w:t>宜参加社会工作者职业水平考试，取得国家社会工作者职业资格证书。</w:t>
      </w:r>
    </w:p>
    <w:p>
      <w:pPr>
        <w:pStyle w:val="168"/>
        <w:rPr>
          <w:shd w:val="clear" w:color="auto" w:fill="FFFFFF"/>
        </w:rPr>
      </w:pPr>
      <w:r>
        <w:rPr>
          <w:rFonts w:hint="eastAsia"/>
          <w:shd w:val="clear" w:color="auto" w:fill="FFFFFF"/>
        </w:rPr>
        <w:t>应在上岗后3个月内走访包联区域内三分之一以上住户，其中60岁以上住户，要求走访覆盖率达100%。</w:t>
      </w:r>
    </w:p>
    <w:p>
      <w:pPr>
        <w:pStyle w:val="168"/>
      </w:pPr>
      <w:r>
        <w:rPr>
          <w:rFonts w:hint="eastAsia"/>
          <w:shd w:val="clear" w:color="auto" w:fill="FFFFFF"/>
        </w:rPr>
        <w:t>专职社区工作者50%以上的工作时间用于走访服务群众，每年应走访住户1遍以上。</w:t>
      </w:r>
    </w:p>
    <w:p>
      <w:pPr>
        <w:pStyle w:val="108"/>
      </w:pPr>
      <w:bookmarkStart w:id="121" w:name="_Toc14000"/>
      <w:bookmarkStart w:id="122" w:name="_Toc148694847"/>
      <w:bookmarkStart w:id="123" w:name="_Toc149910829"/>
      <w:bookmarkStart w:id="124" w:name="_Toc12346"/>
      <w:bookmarkStart w:id="125" w:name="_Toc144457559"/>
      <w:bookmarkStart w:id="126" w:name="_Toc138928784"/>
      <w:bookmarkStart w:id="127" w:name="_Toc146011108"/>
      <w:r>
        <w:rPr>
          <w:rFonts w:hint="eastAsia"/>
        </w:rPr>
        <w:t>社区志愿者</w:t>
      </w:r>
      <w:bookmarkEnd w:id="121"/>
      <w:bookmarkEnd w:id="122"/>
      <w:bookmarkEnd w:id="123"/>
      <w:bookmarkEnd w:id="124"/>
      <w:bookmarkEnd w:id="125"/>
      <w:bookmarkEnd w:id="126"/>
      <w:bookmarkEnd w:id="127"/>
    </w:p>
    <w:p>
      <w:pPr>
        <w:pStyle w:val="168"/>
      </w:pPr>
      <w:r>
        <w:rPr>
          <w:rFonts w:hint="eastAsia"/>
        </w:rPr>
        <w:t>宜与专职社区工作者开展合作，参与社区志愿服务项目。</w:t>
      </w:r>
    </w:p>
    <w:p>
      <w:pPr>
        <w:pStyle w:val="168"/>
      </w:pPr>
      <w:r>
        <w:rPr>
          <w:rFonts w:hint="eastAsia"/>
        </w:rPr>
        <w:t>宜根据自身能力，定期参与理论宣讲、文体活动、扶贫救灾、敬老救孤、恤病助残、法律援助、应急科普、文化支教、环境保护、健康指导、救护培训、垃圾分类和大型社会活动等领域志愿服务。</w:t>
      </w:r>
    </w:p>
    <w:p>
      <w:pPr>
        <w:pStyle w:val="168"/>
      </w:pPr>
      <w:r>
        <w:rPr>
          <w:rFonts w:hint="eastAsia"/>
        </w:rPr>
        <w:t>宜依托志愿服务组织孵化基地，牵头组建志愿服务组织。</w:t>
      </w:r>
    </w:p>
    <w:p>
      <w:pPr>
        <w:pStyle w:val="107"/>
        <w:spacing w:before="312" w:after="312"/>
      </w:pPr>
      <w:bookmarkStart w:id="128" w:name="_Toc3916"/>
      <w:r>
        <w:rPr>
          <w:rFonts w:hint="eastAsia"/>
        </w:rPr>
        <w:t>服务设施</w:t>
      </w:r>
      <w:bookmarkEnd w:id="128"/>
    </w:p>
    <w:p>
      <w:pPr>
        <w:pStyle w:val="108"/>
      </w:pPr>
      <w:bookmarkStart w:id="129" w:name="_Toc148694849"/>
      <w:bookmarkStart w:id="130" w:name="_Toc144457561"/>
      <w:bookmarkStart w:id="131" w:name="_Toc691"/>
      <w:bookmarkStart w:id="132" w:name="_Toc138928786"/>
      <w:bookmarkStart w:id="133" w:name="_Toc149910831"/>
      <w:bookmarkStart w:id="134" w:name="_Toc146011110"/>
      <w:bookmarkStart w:id="135" w:name="_Toc7454"/>
      <w:r>
        <w:rPr>
          <w:rFonts w:hint="eastAsia"/>
        </w:rPr>
        <w:t>基本要求</w:t>
      </w:r>
      <w:bookmarkEnd w:id="129"/>
      <w:bookmarkEnd w:id="130"/>
      <w:bookmarkEnd w:id="131"/>
      <w:bookmarkEnd w:id="132"/>
      <w:bookmarkEnd w:id="133"/>
      <w:bookmarkEnd w:id="134"/>
      <w:bookmarkEnd w:id="135"/>
    </w:p>
    <w:p>
      <w:pPr>
        <w:pStyle w:val="168"/>
      </w:pPr>
      <w:r>
        <w:rPr>
          <w:rFonts w:hint="eastAsia"/>
        </w:rPr>
        <w:t>应科学布局嵌入式服务设施：</w:t>
      </w:r>
    </w:p>
    <w:p>
      <w:pPr>
        <w:pStyle w:val="135"/>
      </w:pPr>
      <w:r>
        <w:rPr>
          <w:rFonts w:hint="eastAsia"/>
        </w:rPr>
        <w:t>围绕居民实际需求集中设置；</w:t>
      </w:r>
    </w:p>
    <w:p>
      <w:pPr>
        <w:pStyle w:val="135"/>
      </w:pPr>
      <w:r>
        <w:rPr>
          <w:rFonts w:hint="eastAsia"/>
        </w:rPr>
        <w:t>不具备集中设置条件的分别设置，</w:t>
      </w:r>
      <w:r>
        <w:rPr>
          <w:rFonts w:hint="eastAsia" w:ascii="Helvetica" w:hAnsi="Helvetica" w:cs="Helvetica"/>
          <w:color w:val="060607"/>
          <w:spacing w:val="8"/>
          <w:szCs w:val="21"/>
          <w:shd w:val="clear" w:color="auto" w:fill="FFFFFF"/>
        </w:rPr>
        <w:t>但应体现共享的元素</w:t>
      </w:r>
      <w:r>
        <w:rPr>
          <w:rFonts w:hint="eastAsia"/>
        </w:rPr>
        <w:t>。</w:t>
      </w:r>
    </w:p>
    <w:p>
      <w:pPr>
        <w:pStyle w:val="168"/>
      </w:pPr>
      <w:r>
        <w:rPr>
          <w:rFonts w:hint="eastAsia"/>
        </w:rPr>
        <w:t>应科学统筹辖区内的各类器材配置，实现各类资源的合理有效使用。</w:t>
      </w:r>
    </w:p>
    <w:p>
      <w:pPr>
        <w:pStyle w:val="168"/>
      </w:pPr>
      <w:r>
        <w:rPr>
          <w:rFonts w:hint="eastAsia"/>
        </w:rPr>
        <w:t>宜构建形成居民15分钟步行可达、具有党建驿站、助餐服务、图书阅览、养老服务、托育服务、儿童游乐等功能的党群服务圈。</w:t>
      </w:r>
    </w:p>
    <w:p>
      <w:pPr>
        <w:pStyle w:val="168"/>
        <w:rPr>
          <w:kern w:val="2"/>
          <w:szCs w:val="21"/>
        </w:rPr>
      </w:pPr>
      <w:r>
        <w:rPr>
          <w:rFonts w:hint="eastAsia"/>
        </w:rPr>
        <w:t>宜根据社区（小区）实际情况和居民需求设置其他个性化配置</w:t>
      </w:r>
      <w:r>
        <w:rPr>
          <w:rFonts w:hint="eastAsia"/>
          <w:kern w:val="2"/>
          <w:szCs w:val="21"/>
        </w:rPr>
        <w:t>。</w:t>
      </w:r>
    </w:p>
    <w:p>
      <w:pPr>
        <w:pStyle w:val="108"/>
      </w:pPr>
      <w:bookmarkStart w:id="136" w:name="_Toc148694850"/>
      <w:bookmarkStart w:id="137" w:name="_Toc144457562"/>
      <w:bookmarkStart w:id="138" w:name="_Toc25061"/>
      <w:bookmarkStart w:id="139" w:name="_Toc135229154"/>
      <w:bookmarkStart w:id="140" w:name="_Toc146011111"/>
      <w:bookmarkStart w:id="141" w:name="_Toc149910832"/>
      <w:bookmarkStart w:id="142" w:name="_Toc27771"/>
      <w:bookmarkStart w:id="143" w:name="_Toc138928787"/>
      <w:r>
        <w:rPr>
          <w:rFonts w:hint="eastAsia"/>
        </w:rPr>
        <w:t>社区功能场景</w:t>
      </w:r>
      <w:bookmarkEnd w:id="136"/>
      <w:bookmarkEnd w:id="137"/>
      <w:bookmarkEnd w:id="138"/>
      <w:bookmarkEnd w:id="139"/>
      <w:bookmarkEnd w:id="140"/>
      <w:bookmarkEnd w:id="141"/>
      <w:bookmarkEnd w:id="142"/>
      <w:bookmarkEnd w:id="143"/>
    </w:p>
    <w:p>
      <w:pPr>
        <w:pStyle w:val="168"/>
      </w:pPr>
      <w:r>
        <w:rPr>
          <w:rFonts w:hint="eastAsia"/>
        </w:rPr>
        <w:t>社区内应至少具备以下8项功能场景中的6项：</w:t>
      </w:r>
    </w:p>
    <w:p>
      <w:pPr>
        <w:pStyle w:val="135"/>
        <w:rPr>
          <w:rFonts w:hAnsi="宋体" w:cs="宋体"/>
        </w:rPr>
      </w:pPr>
      <w:r>
        <w:rPr>
          <w:rFonts w:hint="eastAsia" w:hAnsi="宋体" w:cs="宋体"/>
        </w:rPr>
        <w:t>党群服务中心（邻里客厅）；</w:t>
      </w:r>
    </w:p>
    <w:p>
      <w:pPr>
        <w:pStyle w:val="135"/>
        <w:rPr>
          <w:rFonts w:hAnsi="宋体" w:cs="宋体"/>
        </w:rPr>
      </w:pPr>
      <w:r>
        <w:rPr>
          <w:rFonts w:hint="eastAsia" w:hAnsi="宋体" w:cs="宋体"/>
        </w:rPr>
        <w:t>邻里食堂或助餐点；</w:t>
      </w:r>
    </w:p>
    <w:p>
      <w:pPr>
        <w:pStyle w:val="135"/>
        <w:rPr>
          <w:rFonts w:hAnsi="宋体" w:cs="宋体"/>
        </w:rPr>
      </w:pPr>
      <w:r>
        <w:rPr>
          <w:rFonts w:hint="eastAsia" w:hAnsi="宋体" w:cs="宋体"/>
        </w:rPr>
        <w:t>邻里书吧（公共文化空间或“城市书房”“文化驿站”）；</w:t>
      </w:r>
    </w:p>
    <w:p>
      <w:pPr>
        <w:pStyle w:val="135"/>
        <w:rPr>
          <w:rFonts w:hAnsi="宋体" w:cs="宋体"/>
        </w:rPr>
      </w:pPr>
      <w:r>
        <w:rPr>
          <w:rFonts w:hint="eastAsia" w:hAnsi="宋体" w:cs="宋体"/>
        </w:rPr>
        <w:t>居家养老服务照料中心或照护中心；</w:t>
      </w:r>
    </w:p>
    <w:p>
      <w:pPr>
        <w:pStyle w:val="135"/>
        <w:rPr>
          <w:rFonts w:hAnsi="宋体" w:cs="宋体"/>
        </w:rPr>
      </w:pPr>
      <w:r>
        <w:rPr>
          <w:rFonts w:hint="eastAsia" w:hAnsi="宋体" w:cs="宋体"/>
        </w:rPr>
        <w:t>妇女儿童综合服务驿站；</w:t>
      </w:r>
    </w:p>
    <w:p>
      <w:pPr>
        <w:pStyle w:val="135"/>
        <w:rPr>
          <w:rFonts w:hAnsi="宋体" w:cs="宋体"/>
        </w:rPr>
      </w:pPr>
      <w:r>
        <w:rPr>
          <w:rFonts w:hint="eastAsia" w:hAnsi="宋体" w:cs="宋体"/>
        </w:rPr>
        <w:t>托育服务机构；</w:t>
      </w:r>
    </w:p>
    <w:p>
      <w:pPr>
        <w:pStyle w:val="135"/>
        <w:rPr>
          <w:rFonts w:hAnsi="宋体" w:cs="宋体"/>
        </w:rPr>
      </w:pPr>
      <w:r>
        <w:rPr>
          <w:rFonts w:hint="eastAsia" w:hAnsi="宋体" w:cs="宋体"/>
        </w:rPr>
        <w:t>避灾安置场所；</w:t>
      </w:r>
    </w:p>
    <w:p>
      <w:pPr>
        <w:pStyle w:val="135"/>
        <w:rPr>
          <w:rFonts w:hAnsi="宋体" w:cs="宋体"/>
        </w:rPr>
      </w:pPr>
      <w:r>
        <w:rPr>
          <w:rFonts w:hint="eastAsia" w:hAnsi="宋体" w:cs="宋体"/>
        </w:rPr>
        <w:t>微型消防站。</w:t>
      </w:r>
    </w:p>
    <w:p>
      <w:pPr>
        <w:pStyle w:val="168"/>
      </w:pPr>
      <w:r>
        <w:rPr>
          <w:rFonts w:hint="eastAsia"/>
        </w:rPr>
        <w:t>邻里食堂或助餐点、托育服务场所应位于居民步行15分钟可达的范围内。</w:t>
      </w:r>
    </w:p>
    <w:p>
      <w:pPr>
        <w:pStyle w:val="168"/>
      </w:pPr>
      <w:r>
        <w:rPr>
          <w:rFonts w:hint="eastAsia"/>
        </w:rPr>
        <w:t>宜根据实际情况和居民需求，配备以下个性化功能场景：</w:t>
      </w:r>
    </w:p>
    <w:p>
      <w:pPr>
        <w:pStyle w:val="135"/>
        <w:rPr>
          <w:rFonts w:hAnsi="宋体" w:cs="宋体"/>
        </w:rPr>
      </w:pPr>
      <w:r>
        <w:rPr>
          <w:rFonts w:hint="eastAsia" w:hAnsi="宋体" w:cs="宋体"/>
        </w:rPr>
        <w:t>邻里学堂（幸福学堂）；</w:t>
      </w:r>
    </w:p>
    <w:p>
      <w:pPr>
        <w:pStyle w:val="135"/>
        <w:rPr>
          <w:rFonts w:hAnsi="宋体" w:cs="宋体"/>
        </w:rPr>
      </w:pPr>
      <w:r>
        <w:rPr>
          <w:rFonts w:hint="eastAsia" w:hAnsi="宋体" w:cs="宋体"/>
        </w:rPr>
        <w:t>百姓健身房（健身中心）和室外健身场地；</w:t>
      </w:r>
    </w:p>
    <w:p>
      <w:pPr>
        <w:pStyle w:val="135"/>
        <w:rPr>
          <w:rFonts w:hAnsi="宋体" w:cs="宋体"/>
        </w:rPr>
      </w:pPr>
      <w:r>
        <w:rPr>
          <w:rFonts w:hint="eastAsia" w:hAnsi="宋体" w:cs="宋体"/>
        </w:rPr>
        <w:t>卫生服务场所（卫生室、健康诊室、便民药房、智慧健康站）；</w:t>
      </w:r>
    </w:p>
    <w:p>
      <w:pPr>
        <w:pStyle w:val="135"/>
        <w:rPr>
          <w:rFonts w:hAnsi="宋体" w:cs="宋体"/>
        </w:rPr>
      </w:pPr>
      <w:r>
        <w:rPr>
          <w:rFonts w:hint="eastAsia" w:hAnsi="宋体" w:cs="宋体"/>
        </w:rPr>
        <w:t>智慧安防小区；</w:t>
      </w:r>
    </w:p>
    <w:p>
      <w:pPr>
        <w:pStyle w:val="135"/>
        <w:rPr>
          <w:rFonts w:hAnsi="宋体" w:cs="宋体"/>
        </w:rPr>
      </w:pPr>
      <w:r>
        <w:rPr>
          <w:rFonts w:hint="eastAsia" w:hAnsi="宋体" w:cs="宋体"/>
        </w:rPr>
        <w:t>共富工坊（众创空间）；</w:t>
      </w:r>
    </w:p>
    <w:p>
      <w:pPr>
        <w:pStyle w:val="135"/>
        <w:rPr>
          <w:rFonts w:hAnsi="宋体" w:cs="宋体"/>
        </w:rPr>
      </w:pPr>
      <w:r>
        <w:rPr>
          <w:rFonts w:hint="eastAsia" w:hAnsi="宋体" w:cs="宋体"/>
        </w:rPr>
        <w:t>城市驿站（“小哥驿站”等新就业群体综合性服务平台&lt;站点&gt;）；</w:t>
      </w:r>
    </w:p>
    <w:p>
      <w:pPr>
        <w:pStyle w:val="135"/>
        <w:rPr>
          <w:rFonts w:hAnsi="宋体" w:cs="宋体"/>
        </w:rPr>
      </w:pPr>
      <w:r>
        <w:rPr>
          <w:rFonts w:hint="eastAsia" w:hAnsi="宋体" w:cs="宋体"/>
        </w:rPr>
        <w:t>助残暖心服务驿站；</w:t>
      </w:r>
    </w:p>
    <w:p>
      <w:pPr>
        <w:pStyle w:val="135"/>
        <w:rPr>
          <w:rFonts w:hAnsi="宋体" w:cs="宋体"/>
        </w:rPr>
      </w:pPr>
      <w:r>
        <w:rPr>
          <w:rFonts w:hint="eastAsia" w:hAnsi="宋体" w:cs="宋体"/>
        </w:rPr>
        <w:t>物品共享平台。</w:t>
      </w:r>
    </w:p>
    <w:p>
      <w:pPr>
        <w:pStyle w:val="108"/>
      </w:pPr>
      <w:bookmarkStart w:id="144" w:name="_Toc146011112"/>
      <w:bookmarkStart w:id="145" w:name="_Toc28696"/>
      <w:bookmarkStart w:id="146" w:name="_Toc144457563"/>
      <w:bookmarkStart w:id="147" w:name="_Toc15067"/>
      <w:bookmarkStart w:id="148" w:name="_Toc138928788"/>
      <w:bookmarkStart w:id="149" w:name="_Toc149910833"/>
      <w:bookmarkStart w:id="150" w:name="_Toc135229155"/>
      <w:bookmarkStart w:id="151" w:name="_Toc148694851"/>
      <w:r>
        <w:rPr>
          <w:rFonts w:hint="eastAsia"/>
        </w:rPr>
        <w:t>小区功能场景</w:t>
      </w:r>
      <w:bookmarkEnd w:id="144"/>
      <w:bookmarkEnd w:id="145"/>
      <w:bookmarkEnd w:id="146"/>
      <w:bookmarkEnd w:id="147"/>
      <w:bookmarkEnd w:id="148"/>
      <w:bookmarkEnd w:id="149"/>
      <w:bookmarkEnd w:id="150"/>
      <w:bookmarkEnd w:id="151"/>
    </w:p>
    <w:p>
      <w:pPr>
        <w:pStyle w:val="168"/>
      </w:pPr>
      <w:r>
        <w:rPr>
          <w:rFonts w:hint="eastAsia"/>
        </w:rPr>
        <w:t>小区内应至少具备以下</w:t>
      </w:r>
      <w:r>
        <w:t>8项功能场景中的5项，老旧小区应至少具备3项</w:t>
      </w:r>
      <w:r>
        <w:rPr>
          <w:rFonts w:hint="eastAsia"/>
        </w:rPr>
        <w:t>：</w:t>
      </w:r>
    </w:p>
    <w:p>
      <w:pPr>
        <w:pStyle w:val="135"/>
        <w:rPr>
          <w:rFonts w:hAnsi="宋体" w:cs="宋体"/>
        </w:rPr>
      </w:pPr>
      <w:r>
        <w:rPr>
          <w:rFonts w:hint="eastAsia" w:hAnsi="宋体" w:cs="宋体"/>
        </w:rPr>
        <w:t>党群服务阵地；</w:t>
      </w:r>
    </w:p>
    <w:p>
      <w:pPr>
        <w:pStyle w:val="135"/>
        <w:rPr>
          <w:rFonts w:hAnsi="宋体" w:cs="宋体"/>
        </w:rPr>
      </w:pPr>
      <w:r>
        <w:rPr>
          <w:rFonts w:hint="eastAsia" w:hAnsi="宋体" w:cs="宋体"/>
        </w:rPr>
        <w:t>休闲会客场所；</w:t>
      </w:r>
    </w:p>
    <w:p>
      <w:pPr>
        <w:pStyle w:val="135"/>
        <w:rPr>
          <w:rFonts w:hAnsi="宋体" w:cs="宋体"/>
        </w:rPr>
      </w:pPr>
      <w:r>
        <w:rPr>
          <w:rFonts w:hint="eastAsia" w:hAnsi="宋体" w:cs="宋体"/>
        </w:rPr>
        <w:t>儿童游乐设施；</w:t>
      </w:r>
    </w:p>
    <w:p>
      <w:pPr>
        <w:pStyle w:val="135"/>
        <w:rPr>
          <w:rFonts w:hAnsi="宋体" w:cs="宋体"/>
        </w:rPr>
      </w:pPr>
      <w:r>
        <w:rPr>
          <w:rFonts w:hint="eastAsia" w:hAnsi="宋体" w:cs="宋体"/>
        </w:rPr>
        <w:t>长者服务设施；</w:t>
      </w:r>
    </w:p>
    <w:p>
      <w:pPr>
        <w:pStyle w:val="135"/>
        <w:rPr>
          <w:rFonts w:hAnsi="宋体" w:cs="宋体"/>
        </w:rPr>
      </w:pPr>
      <w:r>
        <w:rPr>
          <w:rFonts w:hint="eastAsia" w:hAnsi="宋体" w:cs="宋体"/>
        </w:rPr>
        <w:t>文体活动区域；</w:t>
      </w:r>
    </w:p>
    <w:p>
      <w:pPr>
        <w:pStyle w:val="135"/>
        <w:rPr>
          <w:rFonts w:hAnsi="宋体" w:cs="宋体"/>
        </w:rPr>
      </w:pPr>
      <w:r>
        <w:rPr>
          <w:rFonts w:hint="eastAsia" w:hAnsi="宋体" w:cs="宋体"/>
        </w:rPr>
        <w:t>物品共享平台；</w:t>
      </w:r>
    </w:p>
    <w:p>
      <w:pPr>
        <w:pStyle w:val="135"/>
        <w:rPr>
          <w:rFonts w:hAnsi="宋体" w:cs="宋体"/>
        </w:rPr>
      </w:pPr>
      <w:r>
        <w:rPr>
          <w:rFonts w:hint="eastAsia" w:hAnsi="宋体" w:cs="宋体"/>
        </w:rPr>
        <w:t>健康诊疗驿站；</w:t>
      </w:r>
    </w:p>
    <w:p>
      <w:pPr>
        <w:pStyle w:val="135"/>
        <w:rPr>
          <w:rFonts w:hAnsi="宋体" w:cs="宋体"/>
        </w:rPr>
      </w:pPr>
      <w:r>
        <w:rPr>
          <w:rFonts w:hint="eastAsia" w:hAnsi="宋体" w:cs="宋体"/>
        </w:rPr>
        <w:t>就业致富场景。</w:t>
      </w:r>
    </w:p>
    <w:p>
      <w:pPr>
        <w:pStyle w:val="168"/>
      </w:pPr>
      <w:r>
        <w:rPr>
          <w:rFonts w:hint="eastAsia"/>
        </w:rPr>
        <w:t>在小区范围内宜悬挂全市统一的“共享社·幸福里”形象标识和标牌，样式见附录A。</w:t>
      </w:r>
    </w:p>
    <w:p>
      <w:pPr>
        <w:pStyle w:val="107"/>
        <w:spacing w:before="312" w:after="312"/>
      </w:pPr>
      <w:bookmarkStart w:id="152" w:name="_Toc15251"/>
      <w:r>
        <w:rPr>
          <w:rFonts w:hint="eastAsia"/>
        </w:rPr>
        <w:t>运行管理</w:t>
      </w:r>
      <w:bookmarkEnd w:id="152"/>
    </w:p>
    <w:p>
      <w:pPr>
        <w:pStyle w:val="108"/>
      </w:pPr>
      <w:r>
        <w:rPr>
          <w:rFonts w:hint="eastAsia"/>
        </w:rPr>
        <w:t>“四张清单”制度</w:t>
      </w:r>
    </w:p>
    <w:p>
      <w:pPr>
        <w:pStyle w:val="168"/>
      </w:pPr>
      <w:r>
        <w:rPr>
          <w:rFonts w:hint="eastAsia"/>
        </w:rPr>
        <w:t>应建立问题、需求、资源、项目“四张清单”，包括：</w:t>
      </w:r>
    </w:p>
    <w:p>
      <w:pPr>
        <w:pStyle w:val="135"/>
      </w:pPr>
      <w:r>
        <w:rPr>
          <w:rFonts w:hint="eastAsia"/>
        </w:rPr>
        <w:t>定期向群众征集急难愁盼问题，建立问题和需求清单；</w:t>
      </w:r>
    </w:p>
    <w:p>
      <w:pPr>
        <w:pStyle w:val="135"/>
      </w:pPr>
      <w:r>
        <w:rPr>
          <w:rFonts w:hint="eastAsia"/>
        </w:rPr>
        <w:t>定期整合社区居委会、小区业委会、物业服务组织以及社会组织等其他组织力量，引导其结合自身资源及特色，发挥专业优势，参与“共享社·幸福里”建设，建立资源和项目清单。</w:t>
      </w:r>
    </w:p>
    <w:p>
      <w:pPr>
        <w:pStyle w:val="168"/>
        <w:rPr>
          <w:kern w:val="2"/>
        </w:rPr>
      </w:pPr>
      <w:r>
        <w:rPr>
          <w:rFonts w:hint="eastAsia"/>
        </w:rPr>
        <w:t>小区业委会应根据“四张清单”，每年梳理确定3-5件关注度高、惠及面广、获得感强的关键事项，牵头组织实施。</w:t>
      </w:r>
    </w:p>
    <w:p>
      <w:pPr>
        <w:pStyle w:val="182"/>
      </w:pPr>
      <w:r>
        <w:rPr>
          <w:rFonts w:hint="eastAsia"/>
        </w:rPr>
        <w:t>关键事项包括但不限于便民利民类、城市管理类、交通出行类、基础设施类、群众活动类、环境改善类、公共服务类、结对帮扶类等。</w:t>
      </w:r>
    </w:p>
    <w:p>
      <w:pPr>
        <w:pStyle w:val="168"/>
      </w:pPr>
      <w:r>
        <w:rPr>
          <w:rFonts w:hint="eastAsia"/>
        </w:rPr>
        <w:t>应定期在社区（小区）向居民公开关键事项实施结果。</w:t>
      </w:r>
    </w:p>
    <w:p>
      <w:pPr>
        <w:pStyle w:val="108"/>
      </w:pPr>
      <w:r>
        <w:rPr>
          <w:rFonts w:hint="eastAsia"/>
        </w:rPr>
        <w:t>重大事项管理</w:t>
      </w:r>
    </w:p>
    <w:p>
      <w:pPr>
        <w:pStyle w:val="168"/>
        <w:rPr>
          <w:szCs w:val="21"/>
        </w:rPr>
      </w:pPr>
      <w:r>
        <w:rPr>
          <w:rFonts w:hint="eastAsia"/>
        </w:rPr>
        <w:t>社区应实行重大事项“五议两公开”，按照党员群众建议、党组织提议、两委会商议、党员大会审议、居民代表决议的程序进行，决议情况和实施结果向全体居民公开。</w:t>
      </w:r>
    </w:p>
    <w:p>
      <w:pPr>
        <w:pStyle w:val="168"/>
      </w:pPr>
      <w:r>
        <w:rPr>
          <w:rFonts w:hint="eastAsia"/>
        </w:rPr>
        <w:t>小区应实行重大事项“三审两公开一备案”，按照小区业委会审议、社区（小区）党组织审核、业主（代表）大会审定、议事全程公开、实施情况公开的程序进行，决议结果和实施结果报社区备案。</w:t>
      </w:r>
    </w:p>
    <w:p>
      <w:pPr>
        <w:pStyle w:val="168"/>
      </w:pPr>
      <w:r>
        <w:rPr>
          <w:rFonts w:hint="eastAsia"/>
          <w:shd w:val="clear" w:color="auto" w:fill="FFFFFF"/>
        </w:rPr>
        <w:t>小区宜实行重大事项“业标街管”制度，按照小区业主（代表）大会决定或按业主大会议事规则规定，以小区业委会为招标人，依托公共资源交易平台实施招投标活动，中标结果作为业主共同决定。“业标街管”的实行应受到属地街道办事处、乡镇人民政府的指导和监督。</w:t>
      </w:r>
    </w:p>
    <w:p>
      <w:pPr>
        <w:pStyle w:val="168"/>
      </w:pPr>
      <w:r>
        <w:rPr>
          <w:rFonts w:hint="eastAsia"/>
        </w:rPr>
        <w:t>重大事项决策应及时在显著位置公告，并在数字服务平台上公开。</w:t>
      </w:r>
    </w:p>
    <w:p>
      <w:pPr>
        <w:pStyle w:val="108"/>
      </w:pPr>
      <w:r>
        <w:rPr>
          <w:rFonts w:hint="eastAsia"/>
        </w:rPr>
        <w:t>共有资金管理</w:t>
      </w:r>
    </w:p>
    <w:p>
      <w:pPr>
        <w:pStyle w:val="168"/>
      </w:pPr>
      <w:r>
        <w:rPr>
          <w:rFonts w:hint="eastAsia"/>
          <w:shd w:val="clear" w:color="auto" w:fill="FFFFFF"/>
        </w:rPr>
        <w:t>小区宜实行业主共有资金“业财代理”制度，按照业主（代表）大会决定或按业主大会议事规则规定，委托有关机构或属地街道办事处、乡镇人民政府确定的机构，协助对住宅小区业主共有资金办理会计业务。“业财代理”制度应接受街道（乡镇）、社区（村）以及业主对住宅小区业主共有资金收支情况的指导或监督。</w:t>
      </w:r>
    </w:p>
    <w:p>
      <w:pPr>
        <w:pStyle w:val="168"/>
      </w:pPr>
      <w:r>
        <w:rPr>
          <w:rFonts w:hint="eastAsia"/>
          <w:shd w:val="clear" w:color="auto" w:fill="FFFFFF"/>
        </w:rPr>
        <w:t>业主共有资金收支情况应在公告栏和数字服务平台内每年公示一次。</w:t>
      </w:r>
    </w:p>
    <w:p>
      <w:pPr>
        <w:pStyle w:val="108"/>
      </w:pPr>
      <w:bookmarkStart w:id="153" w:name="_Toc13448"/>
      <w:bookmarkStart w:id="154" w:name="_Toc19101"/>
      <w:bookmarkStart w:id="155" w:name="_Toc149910835"/>
      <w:bookmarkStart w:id="156" w:name="_Toc148694853"/>
      <w:r>
        <w:rPr>
          <w:rFonts w:hint="eastAsia"/>
        </w:rPr>
        <w:t>自我管理</w:t>
      </w:r>
      <w:bookmarkEnd w:id="153"/>
      <w:bookmarkEnd w:id="154"/>
      <w:bookmarkEnd w:id="155"/>
      <w:bookmarkEnd w:id="156"/>
    </w:p>
    <w:p>
      <w:pPr>
        <w:pStyle w:val="168"/>
      </w:pPr>
      <w:r>
        <w:rPr>
          <w:rFonts w:hint="eastAsia"/>
        </w:rPr>
        <w:t>宜以公约的形式规范居民自我管理：</w:t>
      </w:r>
    </w:p>
    <w:p>
      <w:pPr>
        <w:pStyle w:val="135"/>
      </w:pPr>
      <w:r>
        <w:rPr>
          <w:rFonts w:hint="eastAsia"/>
        </w:rPr>
        <w:t>社区推行居民公约，居民公约的制定或修订应经过“五议两公开”，具体程序见8.2.1；</w:t>
      </w:r>
    </w:p>
    <w:p>
      <w:pPr>
        <w:pStyle w:val="135"/>
      </w:pPr>
      <w:r>
        <w:rPr>
          <w:rFonts w:hint="eastAsia"/>
        </w:rPr>
        <w:t>小区推行业主公约，业主公约的制定或修订应经过“三审两公开一备案”，具体程序见8.2.2。</w:t>
      </w:r>
    </w:p>
    <w:p>
      <w:pPr>
        <w:pStyle w:val="182"/>
        <w:rPr>
          <w:shd w:val="clear" w:color="auto" w:fill="FFFFFF"/>
        </w:rPr>
      </w:pPr>
      <w:r>
        <w:rPr>
          <w:rFonts w:hint="eastAsia"/>
          <w:shd w:val="clear" w:color="auto" w:fill="FFFFFF"/>
        </w:rPr>
        <w:t>公约宜以结构式、条款式、三字俗语、顺口溜等各种表述形式展现，且宜体现“共享社·幸福里”建设元素。</w:t>
      </w:r>
    </w:p>
    <w:p>
      <w:pPr>
        <w:pStyle w:val="168"/>
      </w:pPr>
      <w:r>
        <w:rPr>
          <w:rFonts w:hint="eastAsia"/>
        </w:rPr>
        <w:t>宜不定期通过调查问询的形式统计公约知晓率，随机抽样样本量宜达到辖区内常住居民的10%以上，知晓率应达到80%以上。</w:t>
      </w:r>
    </w:p>
    <w:p>
      <w:pPr>
        <w:pStyle w:val="168"/>
      </w:pPr>
      <w:r>
        <w:rPr>
          <w:rFonts w:hint="eastAsia"/>
        </w:rPr>
        <w:t>社区居民、小区业主应根据DB3303/T 042的要求进行民主协商。</w:t>
      </w:r>
    </w:p>
    <w:p>
      <w:pPr>
        <w:pStyle w:val="108"/>
      </w:pPr>
      <w:bookmarkStart w:id="157" w:name="_Toc148694854"/>
      <w:bookmarkStart w:id="158" w:name="_Toc144457566"/>
      <w:bookmarkStart w:id="159" w:name="_Toc149910836"/>
      <w:bookmarkStart w:id="160" w:name="_Toc7136"/>
      <w:bookmarkStart w:id="161" w:name="_Toc146011115"/>
      <w:bookmarkStart w:id="162" w:name="_Toc11204"/>
      <w:r>
        <w:rPr>
          <w:rFonts w:hint="eastAsia"/>
        </w:rPr>
        <w:t>协同管理</w:t>
      </w:r>
      <w:bookmarkEnd w:id="157"/>
      <w:bookmarkEnd w:id="158"/>
      <w:bookmarkEnd w:id="159"/>
      <w:bookmarkEnd w:id="160"/>
      <w:bookmarkEnd w:id="161"/>
      <w:bookmarkEnd w:id="162"/>
    </w:p>
    <w:p>
      <w:pPr>
        <w:pStyle w:val="68"/>
        <w:spacing w:before="156" w:after="156"/>
      </w:pPr>
      <w:r>
        <w:rPr>
          <w:rFonts w:hint="eastAsia"/>
        </w:rPr>
        <w:t>三方协同</w:t>
      </w:r>
    </w:p>
    <w:p>
      <w:pPr>
        <w:pStyle w:val="167"/>
        <w:ind w:left="0"/>
        <w:rPr>
          <w:kern w:val="2"/>
          <w:szCs w:val="32"/>
        </w:rPr>
      </w:pPr>
      <w:r>
        <w:rPr>
          <w:rFonts w:hint="eastAsia"/>
        </w:rPr>
        <w:t>应建立社区居委会、小区业委会、物业服务组织三方联席会议制度，由社区党组织牵头组织，包联小区干部、小区业委会负责人、物业服务组织负责人及其他代表参与。</w:t>
      </w:r>
    </w:p>
    <w:p>
      <w:pPr>
        <w:pStyle w:val="167"/>
        <w:ind w:left="0"/>
        <w:rPr>
          <w:kern w:val="2"/>
          <w:szCs w:val="32"/>
        </w:rPr>
      </w:pPr>
      <w:r>
        <w:rPr>
          <w:rFonts w:hint="eastAsia"/>
        </w:rPr>
        <w:t>三方联席会议包括但不限于政策业务学习、近期工作报告、管理问题研讨、事项汇总交办等内容，会前应开展民情民意三方联访，收集群众关注的热点堵点问题。</w:t>
      </w:r>
    </w:p>
    <w:p>
      <w:pPr>
        <w:pStyle w:val="167"/>
        <w:ind w:left="0"/>
        <w:rPr>
          <w:kern w:val="2"/>
          <w:szCs w:val="32"/>
        </w:rPr>
      </w:pPr>
      <w:r>
        <w:rPr>
          <w:rFonts w:hint="eastAsia"/>
        </w:rPr>
        <w:t>三方联席会议应每季度召开一次。</w:t>
      </w:r>
    </w:p>
    <w:p>
      <w:pPr>
        <w:pStyle w:val="167"/>
        <w:ind w:left="0"/>
        <w:rPr>
          <w:kern w:val="2"/>
          <w:szCs w:val="32"/>
        </w:rPr>
      </w:pPr>
      <w:r>
        <w:rPr>
          <w:rFonts w:hint="eastAsia"/>
        </w:rPr>
        <w:t>宜依托1</w:t>
      </w:r>
      <w:r>
        <w:t>5</w:t>
      </w:r>
      <w:r>
        <w:rPr>
          <w:rFonts w:hint="eastAsia"/>
        </w:rPr>
        <w:t>分钟党群服务圈建设，包联小区的社区干部宜与物业服务组织、小区业委会合署办公。</w:t>
      </w:r>
    </w:p>
    <w:p>
      <w:pPr>
        <w:pStyle w:val="68"/>
        <w:spacing w:before="156" w:after="156"/>
      </w:pPr>
      <w:r>
        <w:rPr>
          <w:rFonts w:hint="eastAsia"/>
        </w:rPr>
        <w:t>社会参与</w:t>
      </w:r>
    </w:p>
    <w:p>
      <w:pPr>
        <w:pStyle w:val="167"/>
        <w:ind w:left="0"/>
      </w:pPr>
      <w:r>
        <w:rPr>
          <w:rFonts w:hint="eastAsia"/>
        </w:rPr>
        <w:t>应组织开展社会组织进社区（小区）结对活动，推动社会组织与社区（小区）建立长期结对关系。</w:t>
      </w:r>
    </w:p>
    <w:p>
      <w:pPr>
        <w:pStyle w:val="167"/>
        <w:ind w:left="0"/>
      </w:pPr>
      <w:r>
        <w:rPr>
          <w:rFonts w:hint="eastAsia"/>
        </w:rPr>
        <w:t>应引导机关企事业单位党员干部进社区(小区)报到，实行“双重管理服务”。</w:t>
      </w:r>
    </w:p>
    <w:p>
      <w:pPr>
        <w:pStyle w:val="167"/>
        <w:ind w:left="0"/>
      </w:pPr>
      <w:r>
        <w:rPr>
          <w:rFonts w:hint="eastAsia"/>
        </w:rPr>
        <w:t>社区内宜设立“共享会”平台，吸纳有关社会组织等其他组织力量以及个人作为会员,建立服务需求认领机制，提供精准服务。</w:t>
      </w:r>
    </w:p>
    <w:p>
      <w:pPr>
        <w:pStyle w:val="108"/>
      </w:pPr>
      <w:bookmarkStart w:id="163" w:name="_Toc25308"/>
      <w:bookmarkStart w:id="164" w:name="_Toc18750"/>
      <w:r>
        <w:rPr>
          <w:rFonts w:hint="eastAsia"/>
        </w:rPr>
        <w:t>数字服务平台</w:t>
      </w:r>
      <w:bookmarkEnd w:id="163"/>
      <w:bookmarkEnd w:id="164"/>
    </w:p>
    <w:p>
      <w:pPr>
        <w:pStyle w:val="59"/>
      </w:pPr>
      <w:r>
        <w:rPr>
          <w:rFonts w:hint="eastAsia"/>
        </w:rPr>
        <w:t>应整合各类服务资源，建设覆盖“共享社·幸福里”建设区域范围的数字服务平台。数字服务平台宜与“共享社·幸福里”、智慧村社等数字化平台进行数据共享。</w:t>
      </w:r>
    </w:p>
    <w:p>
      <w:pPr>
        <w:pStyle w:val="107"/>
        <w:spacing w:before="312" w:after="312"/>
      </w:pPr>
      <w:bookmarkStart w:id="165" w:name="_Toc4817"/>
      <w:r>
        <w:rPr>
          <w:rFonts w:hint="eastAsia"/>
        </w:rPr>
        <w:t>服务要求</w:t>
      </w:r>
      <w:bookmarkEnd w:id="165"/>
    </w:p>
    <w:p>
      <w:pPr>
        <w:pStyle w:val="108"/>
      </w:pPr>
      <w:bookmarkStart w:id="166" w:name="_Toc144457570"/>
      <w:bookmarkStart w:id="167" w:name="_Toc148694857"/>
      <w:bookmarkStart w:id="168" w:name="_Toc149910839"/>
      <w:bookmarkStart w:id="169" w:name="_Toc10479"/>
      <w:bookmarkStart w:id="170" w:name="_Toc146011118"/>
      <w:bookmarkStart w:id="171" w:name="_Toc8386"/>
      <w:r>
        <w:rPr>
          <w:rFonts w:hint="eastAsia"/>
        </w:rPr>
        <w:t>基本要求</w:t>
      </w:r>
      <w:bookmarkEnd w:id="166"/>
      <w:bookmarkEnd w:id="167"/>
      <w:bookmarkEnd w:id="168"/>
      <w:bookmarkEnd w:id="169"/>
      <w:bookmarkEnd w:id="170"/>
      <w:bookmarkEnd w:id="171"/>
    </w:p>
    <w:p>
      <w:pPr>
        <w:pStyle w:val="168"/>
      </w:pPr>
      <w:r>
        <w:rPr>
          <w:rFonts w:hint="eastAsia"/>
        </w:rPr>
        <w:t>应在GB/T 20647所规定的内容和要求基础上，根据辖区居民需求，结合各社会组织自身资源及特色，建立服务资源清单，因地制宜开展特色化服务。</w:t>
      </w:r>
    </w:p>
    <w:p>
      <w:pPr>
        <w:pStyle w:val="168"/>
      </w:pPr>
      <w:r>
        <w:rPr>
          <w:rFonts w:hint="eastAsia"/>
        </w:rPr>
        <w:t>宜根据群众需求、市场供给和自身实际科学选择合理可持续的服务模式，如专业性机构连锁化、托管式运营社区嵌入式服务等。</w:t>
      </w:r>
    </w:p>
    <w:p>
      <w:pPr>
        <w:pStyle w:val="168"/>
      </w:pPr>
      <w:r>
        <w:rPr>
          <w:rFonts w:hint="eastAsia"/>
        </w:rPr>
        <w:t>宜引导物业服务企业、家政公司提供普惠服务。</w:t>
      </w:r>
    </w:p>
    <w:p>
      <w:pPr>
        <w:pStyle w:val="182"/>
      </w:pPr>
      <w:r>
        <w:rPr>
          <w:rFonts w:hint="eastAsia"/>
          <w:shd w:val="clear" w:color="auto" w:fill="FFFFFF"/>
        </w:rPr>
        <w:t>普惠服务指价格优惠、能普遍惠及居民的服务。</w:t>
      </w:r>
    </w:p>
    <w:p>
      <w:pPr>
        <w:pStyle w:val="108"/>
      </w:pPr>
      <w:bookmarkStart w:id="172" w:name="_Toc9321"/>
      <w:bookmarkStart w:id="173" w:name="_Toc144457571"/>
      <w:bookmarkStart w:id="174" w:name="_Toc149910840"/>
      <w:bookmarkStart w:id="175" w:name="_Toc135229167"/>
      <w:bookmarkStart w:id="176" w:name="_Toc18918"/>
      <w:bookmarkStart w:id="177" w:name="_Toc133161466"/>
      <w:bookmarkStart w:id="178" w:name="_Toc138928798"/>
      <w:bookmarkStart w:id="179" w:name="_Toc146011119"/>
      <w:bookmarkStart w:id="180" w:name="_Toc148694858"/>
      <w:r>
        <w:rPr>
          <w:rFonts w:hint="eastAsia"/>
        </w:rPr>
        <w:t>共享服务</w:t>
      </w:r>
      <w:bookmarkEnd w:id="172"/>
      <w:bookmarkEnd w:id="173"/>
      <w:bookmarkEnd w:id="174"/>
      <w:bookmarkEnd w:id="175"/>
      <w:bookmarkEnd w:id="176"/>
      <w:bookmarkEnd w:id="177"/>
      <w:bookmarkEnd w:id="178"/>
      <w:bookmarkEnd w:id="179"/>
      <w:bookmarkEnd w:id="180"/>
    </w:p>
    <w:p>
      <w:pPr>
        <w:pStyle w:val="168"/>
      </w:pPr>
      <w:r>
        <w:rPr>
          <w:rFonts w:hint="eastAsia"/>
        </w:rPr>
        <w:t>应整合驻区单位、群团组织和社会组织的资源和设施，悬挂共享标识，面向群众</w:t>
      </w:r>
      <w:r>
        <w:rPr>
          <w:rFonts w:hint="eastAsia"/>
          <w:strike/>
        </w:rPr>
        <w:t>免费</w:t>
      </w:r>
      <w:r>
        <w:rPr>
          <w:rFonts w:hint="eastAsia"/>
        </w:rPr>
        <w:t>开放，推进停车位错时共享、活动阵地错峰共享、运动场所限时使用。</w:t>
      </w:r>
    </w:p>
    <w:p>
      <w:pPr>
        <w:pStyle w:val="168"/>
      </w:pPr>
      <w:r>
        <w:rPr>
          <w:rFonts w:hint="eastAsia"/>
        </w:rPr>
        <w:t>应依托共享小屋等设施、平台，开展居民物品交换共享活动。</w:t>
      </w:r>
    </w:p>
    <w:p>
      <w:pPr>
        <w:pStyle w:val="168"/>
      </w:pPr>
      <w:r>
        <w:rPr>
          <w:rFonts w:hint="eastAsia"/>
        </w:rPr>
        <w:t>宜推动居民技能共助，引导具备医疗卫生诊治、法律法规咨询、水电家具维修等技能（资质）的居民分享相关知识技能、提供相应帮助。</w:t>
      </w:r>
    </w:p>
    <w:p>
      <w:pPr>
        <w:pStyle w:val="108"/>
      </w:pPr>
      <w:bookmarkStart w:id="181" w:name="_Toc148694859"/>
      <w:bookmarkStart w:id="182" w:name="_Toc144457572"/>
      <w:bookmarkStart w:id="183" w:name="_Toc146011120"/>
      <w:bookmarkStart w:id="184" w:name="_Toc149910841"/>
      <w:bookmarkStart w:id="185" w:name="_Toc10525"/>
      <w:bookmarkStart w:id="186" w:name="_Toc23746"/>
      <w:r>
        <w:rPr>
          <w:rFonts w:hint="eastAsia"/>
        </w:rPr>
        <w:t>“一老一小一特”服务</w:t>
      </w:r>
      <w:bookmarkEnd w:id="181"/>
      <w:bookmarkEnd w:id="182"/>
      <w:bookmarkEnd w:id="183"/>
      <w:bookmarkEnd w:id="184"/>
      <w:bookmarkEnd w:id="185"/>
      <w:bookmarkEnd w:id="186"/>
    </w:p>
    <w:p>
      <w:pPr>
        <w:pStyle w:val="168"/>
        <w:rPr>
          <w:sz w:val="24"/>
          <w:szCs w:val="24"/>
        </w:rPr>
      </w:pPr>
      <w:r>
        <w:rPr>
          <w:rFonts w:hint="eastAsia"/>
        </w:rPr>
        <w:t>应对空巢、留守、失能、重残、计划生育特殊家庭等特殊困难老年人每月至少进行一次探访，并对接相应社会救助服务资源。</w:t>
      </w:r>
    </w:p>
    <w:p>
      <w:pPr>
        <w:pStyle w:val="182"/>
      </w:pPr>
      <w:r>
        <w:rPr>
          <w:rFonts w:hint="eastAsia"/>
        </w:rPr>
        <w:t>社会救助服务包括但不限于照料护理、送医陪护、社会融入、能力提升、心理疏导、资源链接等。</w:t>
      </w:r>
    </w:p>
    <w:p>
      <w:pPr>
        <w:pStyle w:val="168"/>
        <w:rPr>
          <w:sz w:val="24"/>
          <w:szCs w:val="24"/>
        </w:rPr>
      </w:pPr>
      <w:r>
        <w:rPr>
          <w:rFonts w:hint="eastAsia"/>
        </w:rPr>
        <w:t>宜依托助残暖心服务驿站，推动残疾人照护辅助器具配置租赁、社区服务、政策咨询以及结对共建等举措。</w:t>
      </w:r>
    </w:p>
    <w:p>
      <w:pPr>
        <w:pStyle w:val="168"/>
        <w:rPr>
          <w:sz w:val="24"/>
          <w:szCs w:val="24"/>
        </w:rPr>
      </w:pPr>
      <w:r>
        <w:rPr>
          <w:rFonts w:hint="eastAsia"/>
        </w:rPr>
        <w:t>宜依托妇女儿童综合服务驿站，开展教育培训、权益保障、创业帮扶、公益关爱、儿童服务等服务。</w:t>
      </w:r>
    </w:p>
    <w:p>
      <w:pPr>
        <w:pStyle w:val="168"/>
        <w:rPr>
          <w:szCs w:val="21"/>
        </w:rPr>
      </w:pPr>
      <w:r>
        <w:rPr>
          <w:rFonts w:hint="eastAsia"/>
        </w:rPr>
        <w:t>宜在社区内提供残疾人就业培训服务，增加残疾人公益性岗位。</w:t>
      </w:r>
    </w:p>
    <w:p>
      <w:pPr>
        <w:pStyle w:val="168"/>
        <w:rPr>
          <w:sz w:val="24"/>
          <w:szCs w:val="24"/>
        </w:rPr>
      </w:pPr>
      <w:r>
        <w:rPr>
          <w:rFonts w:hint="eastAsia"/>
        </w:rPr>
        <w:t>应建立基本助老服务项目清单，清单内容和收费情况应公开。</w:t>
      </w:r>
    </w:p>
    <w:p>
      <w:pPr>
        <w:pStyle w:val="168"/>
        <w:rPr>
          <w:sz w:val="24"/>
          <w:szCs w:val="24"/>
        </w:rPr>
      </w:pPr>
      <w:r>
        <w:rPr>
          <w:rFonts w:hint="eastAsia"/>
        </w:rPr>
        <w:t>社区居委会应实行困难群众主动发现、入户调查、政策宣传等社会救助服务机制，核实家庭基本情况并动态更新。</w:t>
      </w:r>
    </w:p>
    <w:p>
      <w:pPr>
        <w:pStyle w:val="168"/>
        <w:rPr>
          <w:sz w:val="24"/>
          <w:szCs w:val="24"/>
        </w:rPr>
      </w:pPr>
      <w:r>
        <w:rPr>
          <w:rFonts w:hint="eastAsia"/>
        </w:rPr>
        <w:t>社区居委会应为困难家庭，残疾人，优抚对象，困境、留守儿童等群体提供社会救助服务，为社区低保对象提供登记公示和相关信息报送服务。</w:t>
      </w:r>
    </w:p>
    <w:p>
      <w:pPr>
        <w:pStyle w:val="108"/>
      </w:pPr>
      <w:bookmarkStart w:id="187" w:name="_Toc9158"/>
      <w:bookmarkStart w:id="188" w:name="_Toc144457573"/>
      <w:bookmarkStart w:id="189" w:name="_Toc148694860"/>
      <w:bookmarkStart w:id="190" w:name="_Toc3081"/>
      <w:bookmarkStart w:id="191" w:name="_Toc146011121"/>
      <w:bookmarkStart w:id="192" w:name="_Toc149910842"/>
      <w:r>
        <w:rPr>
          <w:rFonts w:hint="eastAsia"/>
        </w:rPr>
        <w:t>邻里活动</w:t>
      </w:r>
      <w:bookmarkEnd w:id="187"/>
      <w:bookmarkEnd w:id="188"/>
      <w:bookmarkEnd w:id="189"/>
      <w:bookmarkEnd w:id="190"/>
      <w:bookmarkEnd w:id="191"/>
      <w:bookmarkEnd w:id="192"/>
    </w:p>
    <w:p>
      <w:pPr>
        <w:pStyle w:val="168"/>
      </w:pPr>
      <w:r>
        <w:rPr>
          <w:rFonts w:hint="eastAsia"/>
        </w:rPr>
        <w:t>应根据辖区内居民需求和自身特色，每年至少举办一次邻里赛事。</w:t>
      </w:r>
    </w:p>
    <w:p>
      <w:pPr>
        <w:pStyle w:val="168"/>
      </w:pPr>
      <w:r>
        <w:rPr>
          <w:rFonts w:hint="eastAsia"/>
          <w:shd w:val="clear" w:color="auto" w:fill="FFFFFF"/>
        </w:rPr>
        <w:t>应结合民俗节日（周）等，开展邻里活动，邻里活动宜每月有不同的主题。</w:t>
      </w:r>
    </w:p>
    <w:p>
      <w:pPr>
        <w:pStyle w:val="168"/>
      </w:pPr>
      <w:r>
        <w:rPr>
          <w:rFonts w:hint="eastAsia"/>
          <w:shd w:val="clear" w:color="auto" w:fill="FFFFFF"/>
        </w:rPr>
        <w:t>宜开展家庭文化活动。</w:t>
      </w:r>
    </w:p>
    <w:p>
      <w:pPr>
        <w:pStyle w:val="107"/>
        <w:spacing w:before="312" w:after="312"/>
      </w:pPr>
      <w:bookmarkStart w:id="193" w:name="_Toc4258"/>
      <w:r>
        <w:rPr>
          <w:rFonts w:hint="eastAsia"/>
        </w:rPr>
        <w:t>评价与改进</w:t>
      </w:r>
      <w:bookmarkEnd w:id="193"/>
    </w:p>
    <w:p>
      <w:pPr>
        <w:pStyle w:val="165"/>
      </w:pPr>
      <w:r>
        <w:rPr>
          <w:rFonts w:hint="eastAsia"/>
        </w:rPr>
        <w:t>应定期采用居民满意度调查的方式对“共享社·幸福里”建设工作进行评价，评价层次分为满意、基本满意和不满意三个层次，评价内容包括但不限于：</w:t>
      </w:r>
      <w:r>
        <w:t xml:space="preserve"> </w:t>
      </w:r>
    </w:p>
    <w:p>
      <w:pPr>
        <w:pStyle w:val="135"/>
      </w:pPr>
      <w:r>
        <w:rPr>
          <w:rFonts w:hint="eastAsia"/>
        </w:rPr>
        <w:t>组织工作；</w:t>
      </w:r>
    </w:p>
    <w:p>
      <w:pPr>
        <w:pStyle w:val="135"/>
      </w:pPr>
      <w:r>
        <w:rPr>
          <w:rFonts w:hint="eastAsia"/>
        </w:rPr>
        <w:t>环境面貌改善情况；</w:t>
      </w:r>
    </w:p>
    <w:p>
      <w:pPr>
        <w:pStyle w:val="135"/>
      </w:pPr>
      <w:r>
        <w:rPr>
          <w:rFonts w:hint="eastAsia"/>
        </w:rPr>
        <w:t>功能场景；</w:t>
      </w:r>
    </w:p>
    <w:p>
      <w:pPr>
        <w:pStyle w:val="135"/>
      </w:pPr>
      <w:r>
        <w:rPr>
          <w:rFonts w:hint="eastAsia"/>
        </w:rPr>
        <w:t>“一老一少一特”服务工作情况；</w:t>
      </w:r>
    </w:p>
    <w:p>
      <w:pPr>
        <w:pStyle w:val="135"/>
      </w:pPr>
      <w:r>
        <w:rPr>
          <w:rFonts w:hint="eastAsia"/>
        </w:rPr>
        <w:t>“共享社·幸福里”服务活动参与率；</w:t>
      </w:r>
    </w:p>
    <w:p>
      <w:pPr>
        <w:pStyle w:val="135"/>
      </w:pPr>
      <w:r>
        <w:rPr>
          <w:rFonts w:hint="eastAsia"/>
        </w:rPr>
        <w:t>重大事项决策；</w:t>
      </w:r>
    </w:p>
    <w:p>
      <w:pPr>
        <w:pStyle w:val="135"/>
      </w:pPr>
      <w:r>
        <w:rPr>
          <w:rFonts w:hint="eastAsia"/>
        </w:rPr>
        <w:t>财务管理公开情况；</w:t>
      </w:r>
    </w:p>
    <w:p>
      <w:pPr>
        <w:pStyle w:val="135"/>
      </w:pPr>
      <w:r>
        <w:rPr>
          <w:rFonts w:hint="eastAsia"/>
        </w:rPr>
        <w:t>资源共享工作。</w:t>
      </w:r>
    </w:p>
    <w:p>
      <w:pPr>
        <w:pStyle w:val="165"/>
      </w:pPr>
      <w:r>
        <w:rPr>
          <w:rFonts w:hint="eastAsia"/>
        </w:rPr>
        <w:t>满意度调查样本量宜达到辖区内常住居民的5</w:t>
      </w:r>
      <w:r>
        <w:t>0%</w:t>
      </w:r>
      <w:r>
        <w:rPr>
          <w:rFonts w:hint="eastAsia"/>
        </w:rPr>
        <w:t>以上。</w:t>
      </w:r>
    </w:p>
    <w:p>
      <w:pPr>
        <w:pStyle w:val="165"/>
      </w:pPr>
      <w:r>
        <w:rPr>
          <w:rFonts w:hint="eastAsia"/>
        </w:rPr>
        <w:t>应根据满意度调查结果计算调查结果，调查结果包括评价内容单项满意率和总体满意度，计算方式为：</w:t>
      </w:r>
    </w:p>
    <w:p>
      <w:pPr>
        <w:pStyle w:val="135"/>
      </w:pPr>
      <w:r>
        <w:rPr>
          <w:rFonts w:hint="eastAsia"/>
        </w:rPr>
        <w:t>评价内容单项满意率：分子为满意和基本满意累加数量，分母为实际调查样本数量；</w:t>
      </w:r>
    </w:p>
    <w:p>
      <w:pPr>
        <w:pStyle w:val="135"/>
      </w:pPr>
      <w:r>
        <w:rPr>
          <w:rFonts w:hint="eastAsia"/>
        </w:rPr>
        <w:t>总体满意度：为按各单项评价内容满意、基本满意、不满意等加权赋分后累加数值。</w:t>
      </w:r>
    </w:p>
    <w:p>
      <w:pPr>
        <w:pStyle w:val="165"/>
      </w:pPr>
      <w:r>
        <w:rPr>
          <w:rFonts w:hint="eastAsia"/>
        </w:rPr>
        <w:t>应将满意度调查结果作为改进的依据，对建设工作开展持续改进。</w:t>
      </w:r>
    </w:p>
    <w:p>
      <w:pPr>
        <w:widowControl/>
        <w:adjustRightInd/>
        <w:spacing w:line="240" w:lineRule="auto"/>
        <w:jc w:val="left"/>
        <w:rPr>
          <w:rFonts w:ascii="宋体" w:hAnsi="宋体"/>
          <w:kern w:val="0"/>
        </w:rPr>
      </w:pPr>
      <w:r>
        <w:br w:type="page"/>
      </w:r>
    </w:p>
    <w:bookmarkEnd w:id="24"/>
    <w:p>
      <w:pPr>
        <w:pStyle w:val="201"/>
      </w:pPr>
      <w:bookmarkStart w:id="194" w:name="BookMark5"/>
    </w:p>
    <w:p>
      <w:pPr>
        <w:pStyle w:val="202"/>
      </w:pPr>
    </w:p>
    <w:p>
      <w:pPr>
        <w:pStyle w:val="79"/>
        <w:spacing w:after="156"/>
      </w:pPr>
      <w:bookmarkStart w:id="195" w:name="_Toc585"/>
      <w:r>
        <w:br w:type="textWrapping"/>
      </w:r>
      <w:r>
        <w:rPr>
          <w:rFonts w:hint="eastAsia"/>
        </w:rPr>
        <w:t>（资料性）</w:t>
      </w:r>
      <w:r>
        <w:br w:type="textWrapping"/>
      </w:r>
      <w:r>
        <w:rPr>
          <w:rFonts w:hint="eastAsia"/>
        </w:rPr>
        <w:t>“共享社·幸福里”形象标识和标牌</w:t>
      </w:r>
      <w:bookmarkEnd w:id="195"/>
    </w:p>
    <w:p>
      <w:pPr>
        <w:pStyle w:val="214"/>
      </w:pPr>
      <w:r>
        <w:rPr>
          <w:rFonts w:hint="eastAsia"/>
        </w:rPr>
        <w:t>“共享社·幸福里”形象标识由2部分组成：</w:t>
      </w:r>
    </w:p>
    <w:p>
      <w:pPr>
        <w:pStyle w:val="135"/>
      </w:pPr>
      <w:r>
        <w:rPr>
          <w:rFonts w:hint="eastAsia"/>
        </w:rPr>
        <w:t>“瓯江红”标识，代表党建引领；</w:t>
      </w:r>
    </w:p>
    <w:p>
      <w:pPr>
        <w:pStyle w:val="135"/>
      </w:pPr>
      <w:r>
        <w:rPr>
          <w:rFonts w:hint="eastAsia"/>
        </w:rPr>
        <w:t>“共享社·幸福里”图案标识，由“共享社·幸福里”文字和房屋、一大一小的两个人物形象构成，代表不同年龄和身份的人在社区（小区）能像在温暖的家一样，以手拉手的姿态紧密联系和相互支持，共同创造更加和谐、幸福的社会。</w:t>
      </w:r>
    </w:p>
    <w:p>
      <w:pPr>
        <w:pStyle w:val="214"/>
      </w:pPr>
      <w:r>
        <w:rPr>
          <w:rFonts w:hint="eastAsia"/>
        </w:rPr>
        <w:t>“共享社·幸福里”形象标识的规格、字体、底色为：</w:t>
      </w:r>
    </w:p>
    <w:p>
      <w:pPr>
        <w:pStyle w:val="135"/>
      </w:pPr>
      <w:r>
        <w:rPr>
          <w:rFonts w:hint="eastAsia"/>
        </w:rPr>
        <w:t>“瓯江红”标识要求按照</w:t>
      </w:r>
      <w:r>
        <w:t>DB3303/T 015</w:t>
      </w:r>
      <w:r>
        <w:rPr>
          <w:rFonts w:hint="eastAsia"/>
        </w:rPr>
        <w:t>中7.1.5的规定；</w:t>
      </w:r>
    </w:p>
    <w:p>
      <w:pPr>
        <w:pStyle w:val="135"/>
      </w:pPr>
      <w:r>
        <w:rPr>
          <w:rFonts w:hint="eastAsia"/>
        </w:rPr>
        <w:t>“共享社·幸福里”文字采取cmyk：0 60 80 60色调，图案采取cmyk：0 71 100 0色调。</w:t>
      </w:r>
    </w:p>
    <w:p>
      <w:pPr>
        <w:pStyle w:val="214"/>
      </w:pPr>
      <w:r>
        <w:rPr>
          <w:rFonts w:hint="eastAsia"/>
        </w:rPr>
        <w:t>“共享社·幸福里”形象标识和标牌样式分为4种：</w:t>
      </w:r>
    </w:p>
    <w:p>
      <w:pPr>
        <w:pStyle w:val="135"/>
      </w:pPr>
      <w:r>
        <w:rPr>
          <w:rFonts w:hint="eastAsia"/>
        </w:rPr>
        <w:t>供活动阵地门面较大的小区使用的“共享社·幸福里”形象标识和标牌样式，见图A</w:t>
      </w:r>
      <w:r>
        <w:t>.1</w:t>
      </w:r>
      <w:r>
        <w:rPr>
          <w:rFonts w:hint="eastAsia"/>
        </w:rPr>
        <w:t>；</w:t>
      </w:r>
    </w:p>
    <w:p>
      <w:pPr>
        <w:pStyle w:val="135"/>
      </w:pPr>
      <w:r>
        <w:rPr>
          <w:rFonts w:hint="eastAsia"/>
        </w:rPr>
        <w:t>供活动阵地门面较小的小区使用的“共享社·幸福里”形象标识和标牌样式，见图A</w:t>
      </w:r>
      <w:r>
        <w:t>.</w:t>
      </w:r>
      <w:r>
        <w:rPr>
          <w:rFonts w:hint="eastAsia"/>
        </w:rPr>
        <w:t>2；</w:t>
      </w:r>
    </w:p>
    <w:p>
      <w:pPr>
        <w:pStyle w:val="135"/>
      </w:pPr>
      <w:r>
        <w:rPr>
          <w:rFonts w:hint="eastAsia"/>
        </w:rPr>
        <w:t>供需要呈现小区名称时的阵地或场所使用的“共享社·幸福里”形象标识和标牌样式，见图A</w:t>
      </w:r>
      <w:r>
        <w:t>.</w:t>
      </w:r>
      <w:r>
        <w:rPr>
          <w:rFonts w:hint="eastAsia"/>
        </w:rPr>
        <w:t>3；</w:t>
      </w:r>
    </w:p>
    <w:p>
      <w:pPr>
        <w:pStyle w:val="135"/>
      </w:pPr>
      <w:r>
        <w:rPr>
          <w:rFonts w:hint="eastAsia"/>
        </w:rPr>
        <w:t>供小区宣传栏等长条型位置使用的“共享社·幸福里”形象标识和标牌样式，见图A</w:t>
      </w:r>
      <w:r>
        <w:t>.</w:t>
      </w:r>
      <w:r>
        <w:rPr>
          <w:rFonts w:hint="eastAsia"/>
        </w:rPr>
        <w:t>4。</w:t>
      </w:r>
    </w:p>
    <w:p>
      <w:pPr>
        <w:pStyle w:val="214"/>
        <w:numPr>
          <w:ilvl w:val="0"/>
          <w:numId w:val="0"/>
        </w:numPr>
        <w:jc w:val="center"/>
        <w:rPr>
          <w:highlight w:val="yellow"/>
        </w:rPr>
      </w:pPr>
      <w:r>
        <w:drawing>
          <wp:inline distT="0" distB="0" distL="114300" distR="114300">
            <wp:extent cx="3797300" cy="1062355"/>
            <wp:effectExtent l="0" t="0" r="0" b="254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4"/>
                    <a:stretch>
                      <a:fillRect/>
                    </a:stretch>
                  </pic:blipFill>
                  <pic:spPr>
                    <a:xfrm>
                      <a:off x="0" y="0"/>
                      <a:ext cx="3797300" cy="1062355"/>
                    </a:xfrm>
                    <a:prstGeom prst="rect">
                      <a:avLst/>
                    </a:prstGeom>
                    <a:noFill/>
                    <a:ln>
                      <a:noFill/>
                    </a:ln>
                  </pic:spPr>
                </pic:pic>
              </a:graphicData>
            </a:graphic>
          </wp:inline>
        </w:drawing>
      </w:r>
    </w:p>
    <w:p>
      <w:pPr>
        <w:pStyle w:val="86"/>
        <w:spacing w:before="156" w:after="156"/>
      </w:pPr>
      <w:r>
        <w:rPr>
          <w:rFonts w:hint="eastAsia"/>
        </w:rPr>
        <w:t>供活动阵地门面较大的小区使用的样式</w:t>
      </w:r>
    </w:p>
    <w:p>
      <w:pPr>
        <w:pStyle w:val="214"/>
        <w:numPr>
          <w:ilvl w:val="0"/>
          <w:numId w:val="0"/>
        </w:numPr>
        <w:jc w:val="center"/>
      </w:pPr>
      <w:r>
        <w:drawing>
          <wp:inline distT="0" distB="0" distL="114300" distR="114300">
            <wp:extent cx="3767455" cy="1024255"/>
            <wp:effectExtent l="0" t="0" r="5080" b="762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5"/>
                    <a:stretch>
                      <a:fillRect/>
                    </a:stretch>
                  </pic:blipFill>
                  <pic:spPr>
                    <a:xfrm>
                      <a:off x="0" y="0"/>
                      <a:ext cx="3767455" cy="1024255"/>
                    </a:xfrm>
                    <a:prstGeom prst="rect">
                      <a:avLst/>
                    </a:prstGeom>
                    <a:noFill/>
                    <a:ln>
                      <a:noFill/>
                    </a:ln>
                  </pic:spPr>
                </pic:pic>
              </a:graphicData>
            </a:graphic>
          </wp:inline>
        </w:drawing>
      </w:r>
    </w:p>
    <w:p>
      <w:pPr>
        <w:pStyle w:val="86"/>
        <w:spacing w:before="156" w:after="156"/>
      </w:pPr>
      <w:r>
        <w:rPr>
          <w:rFonts w:hint="eastAsia"/>
        </w:rPr>
        <w:t>供活动阵地门面较小的小区使用的样式</w:t>
      </w:r>
    </w:p>
    <w:p>
      <w:pPr>
        <w:pStyle w:val="214"/>
        <w:numPr>
          <w:ilvl w:val="0"/>
          <w:numId w:val="0"/>
        </w:numPr>
        <w:jc w:val="center"/>
      </w:pPr>
      <w:r>
        <w:drawing>
          <wp:inline distT="0" distB="0" distL="114300" distR="114300">
            <wp:extent cx="4186555" cy="909955"/>
            <wp:effectExtent l="0" t="0" r="6985"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6"/>
                    <a:stretch>
                      <a:fillRect/>
                    </a:stretch>
                  </pic:blipFill>
                  <pic:spPr>
                    <a:xfrm>
                      <a:off x="0" y="0"/>
                      <a:ext cx="4186555" cy="909955"/>
                    </a:xfrm>
                    <a:prstGeom prst="rect">
                      <a:avLst/>
                    </a:prstGeom>
                    <a:noFill/>
                    <a:ln>
                      <a:noFill/>
                    </a:ln>
                  </pic:spPr>
                </pic:pic>
              </a:graphicData>
            </a:graphic>
          </wp:inline>
        </w:drawing>
      </w:r>
    </w:p>
    <w:p>
      <w:pPr>
        <w:pStyle w:val="86"/>
        <w:spacing w:before="156" w:after="156"/>
      </w:pPr>
      <w:r>
        <w:rPr>
          <w:rFonts w:hint="eastAsia"/>
        </w:rPr>
        <w:t>供需要呈现小区名称时的阵地或场所使用的样式</w:t>
      </w:r>
    </w:p>
    <w:p>
      <w:pPr>
        <w:pStyle w:val="59"/>
        <w:jc w:val="center"/>
      </w:pPr>
      <w:r>
        <w:drawing>
          <wp:inline distT="0" distB="0" distL="114300" distR="114300">
            <wp:extent cx="3738245" cy="698500"/>
            <wp:effectExtent l="0" t="0" r="1270" b="317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7"/>
                    <a:stretch>
                      <a:fillRect/>
                    </a:stretch>
                  </pic:blipFill>
                  <pic:spPr>
                    <a:xfrm>
                      <a:off x="0" y="0"/>
                      <a:ext cx="3738245" cy="698500"/>
                    </a:xfrm>
                    <a:prstGeom prst="rect">
                      <a:avLst/>
                    </a:prstGeom>
                    <a:noFill/>
                    <a:ln>
                      <a:noFill/>
                    </a:ln>
                  </pic:spPr>
                </pic:pic>
              </a:graphicData>
            </a:graphic>
          </wp:inline>
        </w:drawing>
      </w:r>
    </w:p>
    <w:p>
      <w:pPr>
        <w:pStyle w:val="86"/>
        <w:spacing w:before="156" w:after="156"/>
      </w:pPr>
      <w:r>
        <w:rPr>
          <w:rFonts w:hint="eastAsia"/>
        </w:rPr>
        <w:t>供小区宣传栏等长条型位置使用的样式</w:t>
      </w:r>
    </w:p>
    <w:bookmarkEnd w:id="194"/>
    <w:p>
      <w:pPr>
        <w:pStyle w:val="59"/>
        <w:ind w:firstLine="0" w:firstLineChars="0"/>
        <w:jc w:val="center"/>
      </w:pPr>
      <w:bookmarkStart w:id="196" w:name="BookMark8"/>
      <w:r>
        <w:drawing>
          <wp:inline distT="0" distB="0" distL="0" distR="0">
            <wp:extent cx="1485900" cy="317500"/>
            <wp:effectExtent l="0" t="0" r="0" b="6350"/>
            <wp:docPr id="16398842" name="图片 3"/>
            <wp:cNvGraphicFramePr/>
            <a:graphic xmlns:a="http://schemas.openxmlformats.org/drawingml/2006/main">
              <a:graphicData uri="http://schemas.openxmlformats.org/drawingml/2006/picture">
                <pic:pic xmlns:pic="http://schemas.openxmlformats.org/drawingml/2006/picture">
                  <pic:nvPicPr>
                    <pic:cNvPr id="16398842" name="图片 3"/>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96"/>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1565"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4536"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425" w:firstLine="0"/>
      </w:pPr>
      <w:rPr>
        <w:rFonts w:hint="eastAsia" w:ascii="黑体" w:eastAsia="黑体"/>
        <w:b w:val="0"/>
        <w:i w:val="0"/>
        <w:strike w:val="0"/>
        <w:sz w:val="21"/>
      </w:rPr>
    </w:lvl>
    <w:lvl w:ilvl="4" w:tentative="0">
      <w:start w:val="1"/>
      <w:numFmt w:val="decimal"/>
      <w:pStyle w:val="97"/>
      <w:suff w:val="nothing"/>
      <w:lvlText w:val="%1%2.%3.%4.%5　"/>
      <w:lvlJc w:val="left"/>
      <w:pPr>
        <w:ind w:left="1134"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0N2ZhMmIxNmUxYzcwMzFlOTgyODY5MmQ5MDE1MzgifQ=="/>
  </w:docVars>
  <w:rsids>
    <w:rsidRoot w:val="003A208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0916"/>
    <w:rsid w:val="000331D3"/>
    <w:rsid w:val="000346A5"/>
    <w:rsid w:val="000359C3"/>
    <w:rsid w:val="00035A7D"/>
    <w:rsid w:val="000365ED"/>
    <w:rsid w:val="000419AC"/>
    <w:rsid w:val="0004249A"/>
    <w:rsid w:val="00043282"/>
    <w:rsid w:val="00043FA6"/>
    <w:rsid w:val="00044286"/>
    <w:rsid w:val="0004467A"/>
    <w:rsid w:val="00045D6C"/>
    <w:rsid w:val="00047F28"/>
    <w:rsid w:val="000503AA"/>
    <w:rsid w:val="000506A1"/>
    <w:rsid w:val="000511A2"/>
    <w:rsid w:val="000515DD"/>
    <w:rsid w:val="00051D26"/>
    <w:rsid w:val="0005265A"/>
    <w:rsid w:val="000539DD"/>
    <w:rsid w:val="00053BD3"/>
    <w:rsid w:val="0005512E"/>
    <w:rsid w:val="000556ED"/>
    <w:rsid w:val="00055EE8"/>
    <w:rsid w:val="00055FE2"/>
    <w:rsid w:val="0005616F"/>
    <w:rsid w:val="000567B4"/>
    <w:rsid w:val="00060C2E"/>
    <w:rsid w:val="00061033"/>
    <w:rsid w:val="0006136B"/>
    <w:rsid w:val="000619E9"/>
    <w:rsid w:val="000622D4"/>
    <w:rsid w:val="0006357D"/>
    <w:rsid w:val="00067913"/>
    <w:rsid w:val="00067F1E"/>
    <w:rsid w:val="00070890"/>
    <w:rsid w:val="00071CC0"/>
    <w:rsid w:val="000725CC"/>
    <w:rsid w:val="00073C8C"/>
    <w:rsid w:val="0007443D"/>
    <w:rsid w:val="00077963"/>
    <w:rsid w:val="00077B64"/>
    <w:rsid w:val="00080A1C"/>
    <w:rsid w:val="00081163"/>
    <w:rsid w:val="00082317"/>
    <w:rsid w:val="00083D2C"/>
    <w:rsid w:val="0008496C"/>
    <w:rsid w:val="00084E48"/>
    <w:rsid w:val="00086AA1"/>
    <w:rsid w:val="00087A77"/>
    <w:rsid w:val="00090CA6"/>
    <w:rsid w:val="00092B8A"/>
    <w:rsid w:val="00092FB0"/>
    <w:rsid w:val="000934C5"/>
    <w:rsid w:val="00093D25"/>
    <w:rsid w:val="00093DAB"/>
    <w:rsid w:val="00094D73"/>
    <w:rsid w:val="00095593"/>
    <w:rsid w:val="00096D63"/>
    <w:rsid w:val="000A0B60"/>
    <w:rsid w:val="000A0EB8"/>
    <w:rsid w:val="000A19FC"/>
    <w:rsid w:val="000A296B"/>
    <w:rsid w:val="000A7311"/>
    <w:rsid w:val="000B060F"/>
    <w:rsid w:val="000B1592"/>
    <w:rsid w:val="000B1FF2"/>
    <w:rsid w:val="000B3CDA"/>
    <w:rsid w:val="000B6A0B"/>
    <w:rsid w:val="000B7AD9"/>
    <w:rsid w:val="000C0F6C"/>
    <w:rsid w:val="000C1034"/>
    <w:rsid w:val="000C11DB"/>
    <w:rsid w:val="000C1492"/>
    <w:rsid w:val="000C2FBD"/>
    <w:rsid w:val="000C2FF9"/>
    <w:rsid w:val="000C4B41"/>
    <w:rsid w:val="000C57D6"/>
    <w:rsid w:val="000C6362"/>
    <w:rsid w:val="000C7666"/>
    <w:rsid w:val="000D0A9C"/>
    <w:rsid w:val="000D1795"/>
    <w:rsid w:val="000D194D"/>
    <w:rsid w:val="000D1EE2"/>
    <w:rsid w:val="000D329A"/>
    <w:rsid w:val="000D3845"/>
    <w:rsid w:val="000D4B9C"/>
    <w:rsid w:val="000D4EB6"/>
    <w:rsid w:val="000D753B"/>
    <w:rsid w:val="000E4C9E"/>
    <w:rsid w:val="000E684A"/>
    <w:rsid w:val="000E6FD7"/>
    <w:rsid w:val="000F06E1"/>
    <w:rsid w:val="000F0E3C"/>
    <w:rsid w:val="000F19D5"/>
    <w:rsid w:val="000F4AEA"/>
    <w:rsid w:val="000F633F"/>
    <w:rsid w:val="000F67E9"/>
    <w:rsid w:val="00104926"/>
    <w:rsid w:val="00106390"/>
    <w:rsid w:val="00111C81"/>
    <w:rsid w:val="00113B1E"/>
    <w:rsid w:val="00113DAE"/>
    <w:rsid w:val="0011711C"/>
    <w:rsid w:val="0012059C"/>
    <w:rsid w:val="00121DC1"/>
    <w:rsid w:val="00122F8E"/>
    <w:rsid w:val="00124E4F"/>
    <w:rsid w:val="001260B7"/>
    <w:rsid w:val="001265CB"/>
    <w:rsid w:val="00127198"/>
    <w:rsid w:val="00131729"/>
    <w:rsid w:val="001321C6"/>
    <w:rsid w:val="001325C4"/>
    <w:rsid w:val="00133010"/>
    <w:rsid w:val="001338EE"/>
    <w:rsid w:val="00133AAE"/>
    <w:rsid w:val="001350E1"/>
    <w:rsid w:val="00135323"/>
    <w:rsid w:val="001356C4"/>
    <w:rsid w:val="0013604A"/>
    <w:rsid w:val="00141114"/>
    <w:rsid w:val="00142969"/>
    <w:rsid w:val="001437C3"/>
    <w:rsid w:val="00143F79"/>
    <w:rsid w:val="001446C2"/>
    <w:rsid w:val="001457E7"/>
    <w:rsid w:val="00145D9D"/>
    <w:rsid w:val="00146388"/>
    <w:rsid w:val="001529E5"/>
    <w:rsid w:val="00153C7E"/>
    <w:rsid w:val="00156B25"/>
    <w:rsid w:val="00156E1A"/>
    <w:rsid w:val="00157894"/>
    <w:rsid w:val="00157B55"/>
    <w:rsid w:val="00163EE6"/>
    <w:rsid w:val="001642FA"/>
    <w:rsid w:val="001649EB"/>
    <w:rsid w:val="00164BAF"/>
    <w:rsid w:val="00164FA8"/>
    <w:rsid w:val="00165065"/>
    <w:rsid w:val="00165434"/>
    <w:rsid w:val="0016580B"/>
    <w:rsid w:val="00165F49"/>
    <w:rsid w:val="00166B88"/>
    <w:rsid w:val="0016757F"/>
    <w:rsid w:val="0016770A"/>
    <w:rsid w:val="00170804"/>
    <w:rsid w:val="001708E9"/>
    <w:rsid w:val="00171EAF"/>
    <w:rsid w:val="0017340B"/>
    <w:rsid w:val="00173FB1"/>
    <w:rsid w:val="00176DFD"/>
    <w:rsid w:val="00181A3C"/>
    <w:rsid w:val="00182A0C"/>
    <w:rsid w:val="001852C9"/>
    <w:rsid w:val="00186A24"/>
    <w:rsid w:val="00190087"/>
    <w:rsid w:val="00190C90"/>
    <w:rsid w:val="001913C4"/>
    <w:rsid w:val="00192B68"/>
    <w:rsid w:val="0019348F"/>
    <w:rsid w:val="00193A07"/>
    <w:rsid w:val="00194C95"/>
    <w:rsid w:val="00195C34"/>
    <w:rsid w:val="00196EF5"/>
    <w:rsid w:val="001A1A53"/>
    <w:rsid w:val="001A234A"/>
    <w:rsid w:val="001A49E8"/>
    <w:rsid w:val="001A4CF3"/>
    <w:rsid w:val="001B06E8"/>
    <w:rsid w:val="001B6A51"/>
    <w:rsid w:val="001B71D0"/>
    <w:rsid w:val="001B71EE"/>
    <w:rsid w:val="001C04A8"/>
    <w:rsid w:val="001C13D9"/>
    <w:rsid w:val="001C2C03"/>
    <w:rsid w:val="001C42F7"/>
    <w:rsid w:val="001C49E5"/>
    <w:rsid w:val="001C680C"/>
    <w:rsid w:val="001C7FEA"/>
    <w:rsid w:val="001D0499"/>
    <w:rsid w:val="001D0AE8"/>
    <w:rsid w:val="001D0BBE"/>
    <w:rsid w:val="001D0ED4"/>
    <w:rsid w:val="001D212F"/>
    <w:rsid w:val="001D29D7"/>
    <w:rsid w:val="001D2DE7"/>
    <w:rsid w:val="001D3529"/>
    <w:rsid w:val="001D411C"/>
    <w:rsid w:val="001D7B88"/>
    <w:rsid w:val="001E1B6A"/>
    <w:rsid w:val="001E2484"/>
    <w:rsid w:val="001E3CC4"/>
    <w:rsid w:val="001E4882"/>
    <w:rsid w:val="001E4E3E"/>
    <w:rsid w:val="001E73AB"/>
    <w:rsid w:val="001E7606"/>
    <w:rsid w:val="001F092D"/>
    <w:rsid w:val="001F143A"/>
    <w:rsid w:val="001F1605"/>
    <w:rsid w:val="001F2508"/>
    <w:rsid w:val="001F4816"/>
    <w:rsid w:val="001F4EE9"/>
    <w:rsid w:val="001F69B4"/>
    <w:rsid w:val="001F77C7"/>
    <w:rsid w:val="00200183"/>
    <w:rsid w:val="00200333"/>
    <w:rsid w:val="00200AD5"/>
    <w:rsid w:val="0020107D"/>
    <w:rsid w:val="00202AA4"/>
    <w:rsid w:val="002031F7"/>
    <w:rsid w:val="002040E6"/>
    <w:rsid w:val="002041B8"/>
    <w:rsid w:val="0020527B"/>
    <w:rsid w:val="00205F2C"/>
    <w:rsid w:val="00210B15"/>
    <w:rsid w:val="002142EA"/>
    <w:rsid w:val="00217177"/>
    <w:rsid w:val="00220129"/>
    <w:rsid w:val="002204BB"/>
    <w:rsid w:val="00220EB8"/>
    <w:rsid w:val="00221B79"/>
    <w:rsid w:val="00221C6B"/>
    <w:rsid w:val="002253A1"/>
    <w:rsid w:val="00225CF8"/>
    <w:rsid w:val="0022794E"/>
    <w:rsid w:val="00233C0F"/>
    <w:rsid w:val="00233D64"/>
    <w:rsid w:val="0023482A"/>
    <w:rsid w:val="002359CB"/>
    <w:rsid w:val="00237716"/>
    <w:rsid w:val="00240907"/>
    <w:rsid w:val="00240CE1"/>
    <w:rsid w:val="00240DC1"/>
    <w:rsid w:val="00243540"/>
    <w:rsid w:val="00243D59"/>
    <w:rsid w:val="0024497B"/>
    <w:rsid w:val="0024515B"/>
    <w:rsid w:val="00246021"/>
    <w:rsid w:val="0024666E"/>
    <w:rsid w:val="00246718"/>
    <w:rsid w:val="00247F52"/>
    <w:rsid w:val="00250B25"/>
    <w:rsid w:val="00250BBE"/>
    <w:rsid w:val="002515C2"/>
    <w:rsid w:val="0025194F"/>
    <w:rsid w:val="0026039F"/>
    <w:rsid w:val="0026148A"/>
    <w:rsid w:val="00262696"/>
    <w:rsid w:val="00263D25"/>
    <w:rsid w:val="002643C3"/>
    <w:rsid w:val="00264A0C"/>
    <w:rsid w:val="00266EEB"/>
    <w:rsid w:val="002671C2"/>
    <w:rsid w:val="00267EF4"/>
    <w:rsid w:val="00270323"/>
    <w:rsid w:val="00270CB8"/>
    <w:rsid w:val="00272B08"/>
    <w:rsid w:val="0027413E"/>
    <w:rsid w:val="002771AC"/>
    <w:rsid w:val="00277508"/>
    <w:rsid w:val="00277937"/>
    <w:rsid w:val="00281A1E"/>
    <w:rsid w:val="00281BB8"/>
    <w:rsid w:val="00281E9E"/>
    <w:rsid w:val="00282405"/>
    <w:rsid w:val="00285170"/>
    <w:rsid w:val="00285361"/>
    <w:rsid w:val="00285F66"/>
    <w:rsid w:val="0028664C"/>
    <w:rsid w:val="00287CC4"/>
    <w:rsid w:val="00292D60"/>
    <w:rsid w:val="00293B30"/>
    <w:rsid w:val="0029489F"/>
    <w:rsid w:val="00294D34"/>
    <w:rsid w:val="00294E3B"/>
    <w:rsid w:val="00296193"/>
    <w:rsid w:val="00296C66"/>
    <w:rsid w:val="00296EBE"/>
    <w:rsid w:val="002974E3"/>
    <w:rsid w:val="002A084B"/>
    <w:rsid w:val="002A1260"/>
    <w:rsid w:val="002A1589"/>
    <w:rsid w:val="002A1608"/>
    <w:rsid w:val="002A25DC"/>
    <w:rsid w:val="002A2F64"/>
    <w:rsid w:val="002A3AAB"/>
    <w:rsid w:val="002A4CEA"/>
    <w:rsid w:val="002A5977"/>
    <w:rsid w:val="002A5A13"/>
    <w:rsid w:val="002A7529"/>
    <w:rsid w:val="002A757F"/>
    <w:rsid w:val="002A7F44"/>
    <w:rsid w:val="002B0C40"/>
    <w:rsid w:val="002B1966"/>
    <w:rsid w:val="002B2F07"/>
    <w:rsid w:val="002B3EF4"/>
    <w:rsid w:val="002B4508"/>
    <w:rsid w:val="002B5779"/>
    <w:rsid w:val="002B7332"/>
    <w:rsid w:val="002B7F51"/>
    <w:rsid w:val="002C09E7"/>
    <w:rsid w:val="002C1E06"/>
    <w:rsid w:val="002C1E1C"/>
    <w:rsid w:val="002C3F07"/>
    <w:rsid w:val="002C4849"/>
    <w:rsid w:val="002C5278"/>
    <w:rsid w:val="002C5C84"/>
    <w:rsid w:val="002C74AD"/>
    <w:rsid w:val="002C7EBB"/>
    <w:rsid w:val="002D06C1"/>
    <w:rsid w:val="002D1BD6"/>
    <w:rsid w:val="002D42B5"/>
    <w:rsid w:val="002D4F1A"/>
    <w:rsid w:val="002D6EC6"/>
    <w:rsid w:val="002D79AC"/>
    <w:rsid w:val="002E039D"/>
    <w:rsid w:val="002E04F3"/>
    <w:rsid w:val="002E1A60"/>
    <w:rsid w:val="002E4D5A"/>
    <w:rsid w:val="002E508A"/>
    <w:rsid w:val="002E6326"/>
    <w:rsid w:val="002F06CF"/>
    <w:rsid w:val="002F30E0"/>
    <w:rsid w:val="002F35E4"/>
    <w:rsid w:val="002F3730"/>
    <w:rsid w:val="002F38E1"/>
    <w:rsid w:val="002F5717"/>
    <w:rsid w:val="002F7A27"/>
    <w:rsid w:val="002F7AF6"/>
    <w:rsid w:val="00300E63"/>
    <w:rsid w:val="0030101E"/>
    <w:rsid w:val="00301FF2"/>
    <w:rsid w:val="00302F5F"/>
    <w:rsid w:val="0030441D"/>
    <w:rsid w:val="00305494"/>
    <w:rsid w:val="00305660"/>
    <w:rsid w:val="00305E81"/>
    <w:rsid w:val="00306063"/>
    <w:rsid w:val="00307934"/>
    <w:rsid w:val="00311BDF"/>
    <w:rsid w:val="003123EE"/>
    <w:rsid w:val="00313B85"/>
    <w:rsid w:val="00317988"/>
    <w:rsid w:val="003221B4"/>
    <w:rsid w:val="0032258D"/>
    <w:rsid w:val="00322E62"/>
    <w:rsid w:val="00323A53"/>
    <w:rsid w:val="00324293"/>
    <w:rsid w:val="00324D13"/>
    <w:rsid w:val="00324D2A"/>
    <w:rsid w:val="00324EDD"/>
    <w:rsid w:val="003319F3"/>
    <w:rsid w:val="00331ABC"/>
    <w:rsid w:val="003331E4"/>
    <w:rsid w:val="00336C64"/>
    <w:rsid w:val="00337162"/>
    <w:rsid w:val="00337758"/>
    <w:rsid w:val="00340059"/>
    <w:rsid w:val="00340D14"/>
    <w:rsid w:val="0034194F"/>
    <w:rsid w:val="00343910"/>
    <w:rsid w:val="00344605"/>
    <w:rsid w:val="003474AA"/>
    <w:rsid w:val="00350D1D"/>
    <w:rsid w:val="00352C83"/>
    <w:rsid w:val="00352E64"/>
    <w:rsid w:val="00356D4F"/>
    <w:rsid w:val="003615D2"/>
    <w:rsid w:val="00363496"/>
    <w:rsid w:val="0036429C"/>
    <w:rsid w:val="00364A53"/>
    <w:rsid w:val="003654CB"/>
    <w:rsid w:val="00365AA9"/>
    <w:rsid w:val="00365F86"/>
    <w:rsid w:val="00365F87"/>
    <w:rsid w:val="0036644B"/>
    <w:rsid w:val="00366E89"/>
    <w:rsid w:val="003705F4"/>
    <w:rsid w:val="00370D58"/>
    <w:rsid w:val="00371316"/>
    <w:rsid w:val="003744AE"/>
    <w:rsid w:val="00374922"/>
    <w:rsid w:val="00376713"/>
    <w:rsid w:val="003778A1"/>
    <w:rsid w:val="0038045D"/>
    <w:rsid w:val="00381815"/>
    <w:rsid w:val="003819AF"/>
    <w:rsid w:val="003820E9"/>
    <w:rsid w:val="00382DE7"/>
    <w:rsid w:val="003832AB"/>
    <w:rsid w:val="00384FFC"/>
    <w:rsid w:val="00385589"/>
    <w:rsid w:val="003872FC"/>
    <w:rsid w:val="00387ADC"/>
    <w:rsid w:val="00390020"/>
    <w:rsid w:val="003903D6"/>
    <w:rsid w:val="00390EE6"/>
    <w:rsid w:val="0039118F"/>
    <w:rsid w:val="00392AD7"/>
    <w:rsid w:val="003938D9"/>
    <w:rsid w:val="00393FD0"/>
    <w:rsid w:val="00394376"/>
    <w:rsid w:val="003943FF"/>
    <w:rsid w:val="00394A43"/>
    <w:rsid w:val="0039543E"/>
    <w:rsid w:val="00395700"/>
    <w:rsid w:val="003974EB"/>
    <w:rsid w:val="00397CC5"/>
    <w:rsid w:val="003A1582"/>
    <w:rsid w:val="003A2080"/>
    <w:rsid w:val="003A279F"/>
    <w:rsid w:val="003A3359"/>
    <w:rsid w:val="003A4077"/>
    <w:rsid w:val="003A62AB"/>
    <w:rsid w:val="003A6455"/>
    <w:rsid w:val="003B09AD"/>
    <w:rsid w:val="003B1F18"/>
    <w:rsid w:val="003B2833"/>
    <w:rsid w:val="003B5BF0"/>
    <w:rsid w:val="003B60BF"/>
    <w:rsid w:val="003B6163"/>
    <w:rsid w:val="003B6BE3"/>
    <w:rsid w:val="003C010C"/>
    <w:rsid w:val="003C06D7"/>
    <w:rsid w:val="003C0A6C"/>
    <w:rsid w:val="003C14F8"/>
    <w:rsid w:val="003C5A43"/>
    <w:rsid w:val="003C731A"/>
    <w:rsid w:val="003D0519"/>
    <w:rsid w:val="003D0E37"/>
    <w:rsid w:val="003D0FF6"/>
    <w:rsid w:val="003D262C"/>
    <w:rsid w:val="003D6D61"/>
    <w:rsid w:val="003D79C6"/>
    <w:rsid w:val="003E091D"/>
    <w:rsid w:val="003E1B19"/>
    <w:rsid w:val="003E1C53"/>
    <w:rsid w:val="003E2A69"/>
    <w:rsid w:val="003E2D49"/>
    <w:rsid w:val="003E2FD4"/>
    <w:rsid w:val="003E49F6"/>
    <w:rsid w:val="003E660F"/>
    <w:rsid w:val="003E790E"/>
    <w:rsid w:val="003E7ED4"/>
    <w:rsid w:val="003F0841"/>
    <w:rsid w:val="003F2175"/>
    <w:rsid w:val="003F237C"/>
    <w:rsid w:val="003F23D3"/>
    <w:rsid w:val="003F32AD"/>
    <w:rsid w:val="003F3F08"/>
    <w:rsid w:val="003F49F1"/>
    <w:rsid w:val="003F6272"/>
    <w:rsid w:val="004004F5"/>
    <w:rsid w:val="00400B86"/>
    <w:rsid w:val="00400E72"/>
    <w:rsid w:val="00401400"/>
    <w:rsid w:val="00403342"/>
    <w:rsid w:val="00404869"/>
    <w:rsid w:val="00405884"/>
    <w:rsid w:val="00405C68"/>
    <w:rsid w:val="00407D39"/>
    <w:rsid w:val="00412734"/>
    <w:rsid w:val="0041477A"/>
    <w:rsid w:val="004167A3"/>
    <w:rsid w:val="00420A81"/>
    <w:rsid w:val="0042105F"/>
    <w:rsid w:val="00421480"/>
    <w:rsid w:val="00423534"/>
    <w:rsid w:val="00423D2C"/>
    <w:rsid w:val="00425253"/>
    <w:rsid w:val="00432DAA"/>
    <w:rsid w:val="00434305"/>
    <w:rsid w:val="00435DF7"/>
    <w:rsid w:val="00436400"/>
    <w:rsid w:val="0044083F"/>
    <w:rsid w:val="00441AE7"/>
    <w:rsid w:val="00443179"/>
    <w:rsid w:val="004433D8"/>
    <w:rsid w:val="00445574"/>
    <w:rsid w:val="00445FF6"/>
    <w:rsid w:val="00446276"/>
    <w:rsid w:val="004464A5"/>
    <w:rsid w:val="004467FB"/>
    <w:rsid w:val="0044692D"/>
    <w:rsid w:val="00452D6B"/>
    <w:rsid w:val="00453B5D"/>
    <w:rsid w:val="00454484"/>
    <w:rsid w:val="00454A1C"/>
    <w:rsid w:val="0045517B"/>
    <w:rsid w:val="00455F35"/>
    <w:rsid w:val="00463B77"/>
    <w:rsid w:val="00463C7B"/>
    <w:rsid w:val="00464005"/>
    <w:rsid w:val="004642BC"/>
    <w:rsid w:val="004644A6"/>
    <w:rsid w:val="004648CD"/>
    <w:rsid w:val="004659BD"/>
    <w:rsid w:val="00465B64"/>
    <w:rsid w:val="00470775"/>
    <w:rsid w:val="004746B1"/>
    <w:rsid w:val="0047583F"/>
    <w:rsid w:val="00475DE8"/>
    <w:rsid w:val="004769BC"/>
    <w:rsid w:val="00481C44"/>
    <w:rsid w:val="00484936"/>
    <w:rsid w:val="00484DAD"/>
    <w:rsid w:val="00485C89"/>
    <w:rsid w:val="00486BE3"/>
    <w:rsid w:val="00487EC4"/>
    <w:rsid w:val="004905E4"/>
    <w:rsid w:val="00490A89"/>
    <w:rsid w:val="00490AB4"/>
    <w:rsid w:val="00492EC8"/>
    <w:rsid w:val="00492F02"/>
    <w:rsid w:val="004939AE"/>
    <w:rsid w:val="004A01A7"/>
    <w:rsid w:val="004A0C9E"/>
    <w:rsid w:val="004A12DF"/>
    <w:rsid w:val="004A17E6"/>
    <w:rsid w:val="004A1BA8"/>
    <w:rsid w:val="004A4B57"/>
    <w:rsid w:val="004A63FA"/>
    <w:rsid w:val="004B0272"/>
    <w:rsid w:val="004B036F"/>
    <w:rsid w:val="004B0D53"/>
    <w:rsid w:val="004B0F06"/>
    <w:rsid w:val="004B25C4"/>
    <w:rsid w:val="004B2701"/>
    <w:rsid w:val="004B2E1B"/>
    <w:rsid w:val="004B3AA8"/>
    <w:rsid w:val="004B3E93"/>
    <w:rsid w:val="004B4012"/>
    <w:rsid w:val="004C1FBC"/>
    <w:rsid w:val="004C3F1D"/>
    <w:rsid w:val="004C458D"/>
    <w:rsid w:val="004C5F1D"/>
    <w:rsid w:val="004C62D8"/>
    <w:rsid w:val="004C7556"/>
    <w:rsid w:val="004C7E8B"/>
    <w:rsid w:val="004C7E9D"/>
    <w:rsid w:val="004C7F67"/>
    <w:rsid w:val="004D076D"/>
    <w:rsid w:val="004D0EF1"/>
    <w:rsid w:val="004D2253"/>
    <w:rsid w:val="004D3B68"/>
    <w:rsid w:val="004D4406"/>
    <w:rsid w:val="004D4B35"/>
    <w:rsid w:val="004D65B7"/>
    <w:rsid w:val="004D7593"/>
    <w:rsid w:val="004D7C42"/>
    <w:rsid w:val="004E0465"/>
    <w:rsid w:val="004E127B"/>
    <w:rsid w:val="004E1C0A"/>
    <w:rsid w:val="004E2B06"/>
    <w:rsid w:val="004E30C5"/>
    <w:rsid w:val="004E4AA5"/>
    <w:rsid w:val="004E4AEE"/>
    <w:rsid w:val="004E4E44"/>
    <w:rsid w:val="004E59E3"/>
    <w:rsid w:val="004E67C0"/>
    <w:rsid w:val="004F0E89"/>
    <w:rsid w:val="004F24F8"/>
    <w:rsid w:val="004F391A"/>
    <w:rsid w:val="004F3CFB"/>
    <w:rsid w:val="004F6456"/>
    <w:rsid w:val="004F696E"/>
    <w:rsid w:val="004F6C71"/>
    <w:rsid w:val="00501139"/>
    <w:rsid w:val="00502DD3"/>
    <w:rsid w:val="0050363E"/>
    <w:rsid w:val="005039BC"/>
    <w:rsid w:val="005043BB"/>
    <w:rsid w:val="00504A3D"/>
    <w:rsid w:val="00505506"/>
    <w:rsid w:val="00505767"/>
    <w:rsid w:val="005073F0"/>
    <w:rsid w:val="00510A7B"/>
    <w:rsid w:val="00512F6E"/>
    <w:rsid w:val="00513038"/>
    <w:rsid w:val="00514174"/>
    <w:rsid w:val="0051528F"/>
    <w:rsid w:val="00516088"/>
    <w:rsid w:val="00516B0B"/>
    <w:rsid w:val="00516FFE"/>
    <w:rsid w:val="00521315"/>
    <w:rsid w:val="00521AE6"/>
    <w:rsid w:val="005220EC"/>
    <w:rsid w:val="00523F95"/>
    <w:rsid w:val="00524D65"/>
    <w:rsid w:val="00525B16"/>
    <w:rsid w:val="00532620"/>
    <w:rsid w:val="00533517"/>
    <w:rsid w:val="00533D04"/>
    <w:rsid w:val="00534804"/>
    <w:rsid w:val="00534BDF"/>
    <w:rsid w:val="005351F5"/>
    <w:rsid w:val="005354EA"/>
    <w:rsid w:val="0053585F"/>
    <w:rsid w:val="00535EC4"/>
    <w:rsid w:val="00535ED9"/>
    <w:rsid w:val="005368FC"/>
    <w:rsid w:val="0053692B"/>
    <w:rsid w:val="00536EC7"/>
    <w:rsid w:val="00540DFC"/>
    <w:rsid w:val="00541853"/>
    <w:rsid w:val="00543BDA"/>
    <w:rsid w:val="00543E20"/>
    <w:rsid w:val="005441CC"/>
    <w:rsid w:val="005479DA"/>
    <w:rsid w:val="00547BCC"/>
    <w:rsid w:val="0055013B"/>
    <w:rsid w:val="00551DB3"/>
    <w:rsid w:val="00551F6F"/>
    <w:rsid w:val="00555044"/>
    <w:rsid w:val="005559CC"/>
    <w:rsid w:val="00557885"/>
    <w:rsid w:val="00561475"/>
    <w:rsid w:val="0056487B"/>
    <w:rsid w:val="00564FB9"/>
    <w:rsid w:val="00567755"/>
    <w:rsid w:val="00567E18"/>
    <w:rsid w:val="00573D9E"/>
    <w:rsid w:val="005743DF"/>
    <w:rsid w:val="00576FED"/>
    <w:rsid w:val="005801E3"/>
    <w:rsid w:val="005808A4"/>
    <w:rsid w:val="00581802"/>
    <w:rsid w:val="0058286A"/>
    <w:rsid w:val="005836A8"/>
    <w:rsid w:val="0058409C"/>
    <w:rsid w:val="00584262"/>
    <w:rsid w:val="00586630"/>
    <w:rsid w:val="00587ADD"/>
    <w:rsid w:val="00591E27"/>
    <w:rsid w:val="00596160"/>
    <w:rsid w:val="005966E2"/>
    <w:rsid w:val="00597007"/>
    <w:rsid w:val="0059738C"/>
    <w:rsid w:val="005A092A"/>
    <w:rsid w:val="005A0966"/>
    <w:rsid w:val="005A11B7"/>
    <w:rsid w:val="005A260B"/>
    <w:rsid w:val="005A4A1B"/>
    <w:rsid w:val="005A7830"/>
    <w:rsid w:val="005A7FCE"/>
    <w:rsid w:val="005B0910"/>
    <w:rsid w:val="005B0F3F"/>
    <w:rsid w:val="005B4903"/>
    <w:rsid w:val="005B51CE"/>
    <w:rsid w:val="005B5885"/>
    <w:rsid w:val="005B5CD7"/>
    <w:rsid w:val="005B6CF6"/>
    <w:rsid w:val="005B7422"/>
    <w:rsid w:val="005C1FF6"/>
    <w:rsid w:val="005C2700"/>
    <w:rsid w:val="005C29B8"/>
    <w:rsid w:val="005C5F21"/>
    <w:rsid w:val="005C7156"/>
    <w:rsid w:val="005D0C75"/>
    <w:rsid w:val="005D1DAC"/>
    <w:rsid w:val="005D346A"/>
    <w:rsid w:val="005D4171"/>
    <w:rsid w:val="005D5DAE"/>
    <w:rsid w:val="005D6A95"/>
    <w:rsid w:val="005D6B2C"/>
    <w:rsid w:val="005D6D9C"/>
    <w:rsid w:val="005E1561"/>
    <w:rsid w:val="005E2335"/>
    <w:rsid w:val="005E34CA"/>
    <w:rsid w:val="005E3C18"/>
    <w:rsid w:val="005E6812"/>
    <w:rsid w:val="005E7881"/>
    <w:rsid w:val="005E78E0"/>
    <w:rsid w:val="005F0D9C"/>
    <w:rsid w:val="005F2327"/>
    <w:rsid w:val="005F284E"/>
    <w:rsid w:val="005F37CA"/>
    <w:rsid w:val="005F3F91"/>
    <w:rsid w:val="005F4422"/>
    <w:rsid w:val="005F4712"/>
    <w:rsid w:val="005F6D94"/>
    <w:rsid w:val="006015CE"/>
    <w:rsid w:val="00604784"/>
    <w:rsid w:val="00606419"/>
    <w:rsid w:val="00606589"/>
    <w:rsid w:val="0060739C"/>
    <w:rsid w:val="00607D29"/>
    <w:rsid w:val="00612952"/>
    <w:rsid w:val="00614CC1"/>
    <w:rsid w:val="006151CB"/>
    <w:rsid w:val="00615A9D"/>
    <w:rsid w:val="00616436"/>
    <w:rsid w:val="00617387"/>
    <w:rsid w:val="006205D6"/>
    <w:rsid w:val="00622925"/>
    <w:rsid w:val="006252D8"/>
    <w:rsid w:val="006253A8"/>
    <w:rsid w:val="006259BC"/>
    <w:rsid w:val="0062636B"/>
    <w:rsid w:val="0062645B"/>
    <w:rsid w:val="00626BCA"/>
    <w:rsid w:val="00627465"/>
    <w:rsid w:val="00630248"/>
    <w:rsid w:val="00631779"/>
    <w:rsid w:val="00631959"/>
    <w:rsid w:val="00632182"/>
    <w:rsid w:val="00632AE0"/>
    <w:rsid w:val="00633C17"/>
    <w:rsid w:val="00634D9E"/>
    <w:rsid w:val="00636E3E"/>
    <w:rsid w:val="006379F7"/>
    <w:rsid w:val="00637E4D"/>
    <w:rsid w:val="00640620"/>
    <w:rsid w:val="00641A1F"/>
    <w:rsid w:val="00645904"/>
    <w:rsid w:val="006479AA"/>
    <w:rsid w:val="00650940"/>
    <w:rsid w:val="00651ACB"/>
    <w:rsid w:val="00651C47"/>
    <w:rsid w:val="00652AB2"/>
    <w:rsid w:val="00653FED"/>
    <w:rsid w:val="00654892"/>
    <w:rsid w:val="00654EC0"/>
    <w:rsid w:val="0065525B"/>
    <w:rsid w:val="00655D4F"/>
    <w:rsid w:val="00656D29"/>
    <w:rsid w:val="00662861"/>
    <w:rsid w:val="00664045"/>
    <w:rsid w:val="006640E5"/>
    <w:rsid w:val="006646F1"/>
    <w:rsid w:val="00664929"/>
    <w:rsid w:val="00664E4D"/>
    <w:rsid w:val="00664F62"/>
    <w:rsid w:val="006654CB"/>
    <w:rsid w:val="006655E1"/>
    <w:rsid w:val="00667041"/>
    <w:rsid w:val="00672060"/>
    <w:rsid w:val="00672BFD"/>
    <w:rsid w:val="00675151"/>
    <w:rsid w:val="00675826"/>
    <w:rsid w:val="006770F4"/>
    <w:rsid w:val="00677A84"/>
    <w:rsid w:val="0068026D"/>
    <w:rsid w:val="00680A27"/>
    <w:rsid w:val="006816A4"/>
    <w:rsid w:val="006819B8"/>
    <w:rsid w:val="006840A6"/>
    <w:rsid w:val="006850CD"/>
    <w:rsid w:val="00685AAB"/>
    <w:rsid w:val="00687902"/>
    <w:rsid w:val="0069433F"/>
    <w:rsid w:val="00695D22"/>
    <w:rsid w:val="006A07AA"/>
    <w:rsid w:val="006A0980"/>
    <w:rsid w:val="006A25E5"/>
    <w:rsid w:val="006A2B46"/>
    <w:rsid w:val="006A336D"/>
    <w:rsid w:val="006A37B9"/>
    <w:rsid w:val="006B2672"/>
    <w:rsid w:val="006B5266"/>
    <w:rsid w:val="006B54BF"/>
    <w:rsid w:val="006B5DDA"/>
    <w:rsid w:val="006B5F44"/>
    <w:rsid w:val="006B5F90"/>
    <w:rsid w:val="006B62E4"/>
    <w:rsid w:val="006C0837"/>
    <w:rsid w:val="006C0965"/>
    <w:rsid w:val="006C1BBA"/>
    <w:rsid w:val="006C2079"/>
    <w:rsid w:val="006C2A4F"/>
    <w:rsid w:val="006C5A62"/>
    <w:rsid w:val="006C5D68"/>
    <w:rsid w:val="006C6976"/>
    <w:rsid w:val="006C6DD0"/>
    <w:rsid w:val="006C708D"/>
    <w:rsid w:val="006D04EA"/>
    <w:rsid w:val="006D0AB7"/>
    <w:rsid w:val="006D16C4"/>
    <w:rsid w:val="006D3E96"/>
    <w:rsid w:val="006D4515"/>
    <w:rsid w:val="006D4BB1"/>
    <w:rsid w:val="006D5C11"/>
    <w:rsid w:val="006D6593"/>
    <w:rsid w:val="006E23EA"/>
    <w:rsid w:val="006E37A2"/>
    <w:rsid w:val="006E6DC2"/>
    <w:rsid w:val="006F03A8"/>
    <w:rsid w:val="006F20C2"/>
    <w:rsid w:val="006F2ACA"/>
    <w:rsid w:val="006F2ADC"/>
    <w:rsid w:val="006F2BFE"/>
    <w:rsid w:val="006F31E9"/>
    <w:rsid w:val="006F6284"/>
    <w:rsid w:val="006F6A4B"/>
    <w:rsid w:val="007002C5"/>
    <w:rsid w:val="00704387"/>
    <w:rsid w:val="00704569"/>
    <w:rsid w:val="007048F8"/>
    <w:rsid w:val="00707669"/>
    <w:rsid w:val="007112C6"/>
    <w:rsid w:val="00711CBA"/>
    <w:rsid w:val="00711FB5"/>
    <w:rsid w:val="007128FC"/>
    <w:rsid w:val="00712A01"/>
    <w:rsid w:val="00714F58"/>
    <w:rsid w:val="00715DCE"/>
    <w:rsid w:val="0071772E"/>
    <w:rsid w:val="00720381"/>
    <w:rsid w:val="0072169A"/>
    <w:rsid w:val="00722FBF"/>
    <w:rsid w:val="00722FC2"/>
    <w:rsid w:val="00724879"/>
    <w:rsid w:val="00724E1B"/>
    <w:rsid w:val="00725949"/>
    <w:rsid w:val="00727FA2"/>
    <w:rsid w:val="0073182C"/>
    <w:rsid w:val="007322D9"/>
    <w:rsid w:val="00732860"/>
    <w:rsid w:val="00732BC0"/>
    <w:rsid w:val="00732EC5"/>
    <w:rsid w:val="00733542"/>
    <w:rsid w:val="0073488E"/>
    <w:rsid w:val="0073720F"/>
    <w:rsid w:val="00737796"/>
    <w:rsid w:val="0074165C"/>
    <w:rsid w:val="00742C35"/>
    <w:rsid w:val="007432CA"/>
    <w:rsid w:val="007439EB"/>
    <w:rsid w:val="00743CB4"/>
    <w:rsid w:val="00743F0A"/>
    <w:rsid w:val="007444E8"/>
    <w:rsid w:val="0074548E"/>
    <w:rsid w:val="00745773"/>
    <w:rsid w:val="00746800"/>
    <w:rsid w:val="00746A5E"/>
    <w:rsid w:val="00746E97"/>
    <w:rsid w:val="007501A8"/>
    <w:rsid w:val="00750D61"/>
    <w:rsid w:val="00750EE1"/>
    <w:rsid w:val="00751A08"/>
    <w:rsid w:val="00752B4D"/>
    <w:rsid w:val="00753C55"/>
    <w:rsid w:val="00753DEB"/>
    <w:rsid w:val="00754E76"/>
    <w:rsid w:val="00755402"/>
    <w:rsid w:val="00756B26"/>
    <w:rsid w:val="00756EDF"/>
    <w:rsid w:val="007600E3"/>
    <w:rsid w:val="00762767"/>
    <w:rsid w:val="00763A9F"/>
    <w:rsid w:val="00765C43"/>
    <w:rsid w:val="00765EFB"/>
    <w:rsid w:val="007665E1"/>
    <w:rsid w:val="007671CA"/>
    <w:rsid w:val="00767C61"/>
    <w:rsid w:val="0077008A"/>
    <w:rsid w:val="007725EA"/>
    <w:rsid w:val="00773C1F"/>
    <w:rsid w:val="00774DA4"/>
    <w:rsid w:val="00776599"/>
    <w:rsid w:val="007779B5"/>
    <w:rsid w:val="0078114B"/>
    <w:rsid w:val="00781258"/>
    <w:rsid w:val="00781DD2"/>
    <w:rsid w:val="00782FB6"/>
    <w:rsid w:val="0078397C"/>
    <w:rsid w:val="00783ECF"/>
    <w:rsid w:val="0078413A"/>
    <w:rsid w:val="00785F9F"/>
    <w:rsid w:val="007865D0"/>
    <w:rsid w:val="00787458"/>
    <w:rsid w:val="00791057"/>
    <w:rsid w:val="0079408C"/>
    <w:rsid w:val="007959E8"/>
    <w:rsid w:val="00795E9C"/>
    <w:rsid w:val="007960BD"/>
    <w:rsid w:val="007A0521"/>
    <w:rsid w:val="007A2E12"/>
    <w:rsid w:val="007A3475"/>
    <w:rsid w:val="007A375D"/>
    <w:rsid w:val="007A3D5D"/>
    <w:rsid w:val="007A41C8"/>
    <w:rsid w:val="007A54CE"/>
    <w:rsid w:val="007A5CCA"/>
    <w:rsid w:val="007A684C"/>
    <w:rsid w:val="007A6FD9"/>
    <w:rsid w:val="007A7FFA"/>
    <w:rsid w:val="007B04EB"/>
    <w:rsid w:val="007B05F2"/>
    <w:rsid w:val="007B0D4F"/>
    <w:rsid w:val="007B1265"/>
    <w:rsid w:val="007B1E2B"/>
    <w:rsid w:val="007B5111"/>
    <w:rsid w:val="007B5A3D"/>
    <w:rsid w:val="007B5B95"/>
    <w:rsid w:val="007B68EA"/>
    <w:rsid w:val="007B6917"/>
    <w:rsid w:val="007B7453"/>
    <w:rsid w:val="007C1E8B"/>
    <w:rsid w:val="007C256A"/>
    <w:rsid w:val="007C2D89"/>
    <w:rsid w:val="007C3B98"/>
    <w:rsid w:val="007C4593"/>
    <w:rsid w:val="007C5309"/>
    <w:rsid w:val="007C6069"/>
    <w:rsid w:val="007C773F"/>
    <w:rsid w:val="007D06C4"/>
    <w:rsid w:val="007D1352"/>
    <w:rsid w:val="007D2508"/>
    <w:rsid w:val="007D343B"/>
    <w:rsid w:val="007D346A"/>
    <w:rsid w:val="007D3F15"/>
    <w:rsid w:val="007D416F"/>
    <w:rsid w:val="007D6518"/>
    <w:rsid w:val="007D76BD"/>
    <w:rsid w:val="007E0BF1"/>
    <w:rsid w:val="007E1156"/>
    <w:rsid w:val="007E43E1"/>
    <w:rsid w:val="007E694B"/>
    <w:rsid w:val="007F0ED8"/>
    <w:rsid w:val="007F0F63"/>
    <w:rsid w:val="007F2549"/>
    <w:rsid w:val="007F75CE"/>
    <w:rsid w:val="008013A4"/>
    <w:rsid w:val="00801A5B"/>
    <w:rsid w:val="008027CE"/>
    <w:rsid w:val="00802F42"/>
    <w:rsid w:val="0080387A"/>
    <w:rsid w:val="00804383"/>
    <w:rsid w:val="00804BB7"/>
    <w:rsid w:val="00804D41"/>
    <w:rsid w:val="00810257"/>
    <w:rsid w:val="008104F5"/>
    <w:rsid w:val="00811072"/>
    <w:rsid w:val="00811369"/>
    <w:rsid w:val="00815419"/>
    <w:rsid w:val="008163C8"/>
    <w:rsid w:val="008164A1"/>
    <w:rsid w:val="00817325"/>
    <w:rsid w:val="008209E6"/>
    <w:rsid w:val="0082305E"/>
    <w:rsid w:val="00823303"/>
    <w:rsid w:val="008233B2"/>
    <w:rsid w:val="00823A9F"/>
    <w:rsid w:val="00823C85"/>
    <w:rsid w:val="00825138"/>
    <w:rsid w:val="0082534E"/>
    <w:rsid w:val="008269DD"/>
    <w:rsid w:val="00827F54"/>
    <w:rsid w:val="00830438"/>
    <w:rsid w:val="00830621"/>
    <w:rsid w:val="00830D17"/>
    <w:rsid w:val="00831CB6"/>
    <w:rsid w:val="0083348C"/>
    <w:rsid w:val="008373D3"/>
    <w:rsid w:val="008374BE"/>
    <w:rsid w:val="00840617"/>
    <w:rsid w:val="00840F84"/>
    <w:rsid w:val="00841152"/>
    <w:rsid w:val="00842A47"/>
    <w:rsid w:val="00843C13"/>
    <w:rsid w:val="008454F8"/>
    <w:rsid w:val="00846C6D"/>
    <w:rsid w:val="008504AB"/>
    <w:rsid w:val="0085173A"/>
    <w:rsid w:val="008518B2"/>
    <w:rsid w:val="00853D6C"/>
    <w:rsid w:val="00856316"/>
    <w:rsid w:val="008603CE"/>
    <w:rsid w:val="008620FC"/>
    <w:rsid w:val="008627A5"/>
    <w:rsid w:val="00863E05"/>
    <w:rsid w:val="00865ACA"/>
    <w:rsid w:val="00865D28"/>
    <w:rsid w:val="00865F85"/>
    <w:rsid w:val="00867C10"/>
    <w:rsid w:val="00870439"/>
    <w:rsid w:val="00870DA1"/>
    <w:rsid w:val="00872232"/>
    <w:rsid w:val="00872A39"/>
    <w:rsid w:val="00881B3D"/>
    <w:rsid w:val="00882E6C"/>
    <w:rsid w:val="00883F93"/>
    <w:rsid w:val="00884DB3"/>
    <w:rsid w:val="00885A9D"/>
    <w:rsid w:val="008864F6"/>
    <w:rsid w:val="0088744B"/>
    <w:rsid w:val="0089049D"/>
    <w:rsid w:val="008928C9"/>
    <w:rsid w:val="008930CB"/>
    <w:rsid w:val="008938DC"/>
    <w:rsid w:val="00893A53"/>
    <w:rsid w:val="00893FD1"/>
    <w:rsid w:val="008942D8"/>
    <w:rsid w:val="00894836"/>
    <w:rsid w:val="00894AA5"/>
    <w:rsid w:val="00895172"/>
    <w:rsid w:val="0089556D"/>
    <w:rsid w:val="00895680"/>
    <w:rsid w:val="00896DFF"/>
    <w:rsid w:val="00897464"/>
    <w:rsid w:val="0089762C"/>
    <w:rsid w:val="008A139A"/>
    <w:rsid w:val="008A1893"/>
    <w:rsid w:val="008A3215"/>
    <w:rsid w:val="008A57E6"/>
    <w:rsid w:val="008A6C29"/>
    <w:rsid w:val="008A6F81"/>
    <w:rsid w:val="008A769A"/>
    <w:rsid w:val="008B0C9C"/>
    <w:rsid w:val="008B166D"/>
    <w:rsid w:val="008B17F4"/>
    <w:rsid w:val="008B2126"/>
    <w:rsid w:val="008B337F"/>
    <w:rsid w:val="008B3615"/>
    <w:rsid w:val="008B4AC4"/>
    <w:rsid w:val="008B50C8"/>
    <w:rsid w:val="008B5281"/>
    <w:rsid w:val="008B7ADE"/>
    <w:rsid w:val="008B7E05"/>
    <w:rsid w:val="008C1797"/>
    <w:rsid w:val="008C219C"/>
    <w:rsid w:val="008C475E"/>
    <w:rsid w:val="008C619A"/>
    <w:rsid w:val="008D0CE8"/>
    <w:rsid w:val="008D2C2F"/>
    <w:rsid w:val="008D2D1D"/>
    <w:rsid w:val="008D453D"/>
    <w:rsid w:val="008D53AD"/>
    <w:rsid w:val="008D562B"/>
    <w:rsid w:val="008D5733"/>
    <w:rsid w:val="008D622B"/>
    <w:rsid w:val="008D666C"/>
    <w:rsid w:val="008D7B54"/>
    <w:rsid w:val="008E0C9D"/>
    <w:rsid w:val="008E1648"/>
    <w:rsid w:val="008E1B3E"/>
    <w:rsid w:val="008E2319"/>
    <w:rsid w:val="008E481A"/>
    <w:rsid w:val="008E4BB6"/>
    <w:rsid w:val="008E5518"/>
    <w:rsid w:val="008E6A84"/>
    <w:rsid w:val="008F07EA"/>
    <w:rsid w:val="008F0CDC"/>
    <w:rsid w:val="008F17A3"/>
    <w:rsid w:val="008F1ED3"/>
    <w:rsid w:val="008F2133"/>
    <w:rsid w:val="008F23A5"/>
    <w:rsid w:val="008F323B"/>
    <w:rsid w:val="008F3497"/>
    <w:rsid w:val="008F484E"/>
    <w:rsid w:val="008F4C29"/>
    <w:rsid w:val="008F693F"/>
    <w:rsid w:val="008F6F3E"/>
    <w:rsid w:val="008F70BD"/>
    <w:rsid w:val="008F788F"/>
    <w:rsid w:val="008F7EA2"/>
    <w:rsid w:val="00900C27"/>
    <w:rsid w:val="00902722"/>
    <w:rsid w:val="009027BC"/>
    <w:rsid w:val="009062E6"/>
    <w:rsid w:val="009071C9"/>
    <w:rsid w:val="00911BE5"/>
    <w:rsid w:val="00913CA9"/>
    <w:rsid w:val="009145AE"/>
    <w:rsid w:val="009146CE"/>
    <w:rsid w:val="00914CA7"/>
    <w:rsid w:val="00915C3E"/>
    <w:rsid w:val="009161A8"/>
    <w:rsid w:val="00916560"/>
    <w:rsid w:val="00917566"/>
    <w:rsid w:val="0092385C"/>
    <w:rsid w:val="009245F5"/>
    <w:rsid w:val="009249EC"/>
    <w:rsid w:val="009268F7"/>
    <w:rsid w:val="009273B3"/>
    <w:rsid w:val="009305B5"/>
    <w:rsid w:val="0093780C"/>
    <w:rsid w:val="00941224"/>
    <w:rsid w:val="00941D5D"/>
    <w:rsid w:val="009429D5"/>
    <w:rsid w:val="00942BF1"/>
    <w:rsid w:val="00945180"/>
    <w:rsid w:val="00945428"/>
    <w:rsid w:val="0094607B"/>
    <w:rsid w:val="00946D14"/>
    <w:rsid w:val="00951398"/>
    <w:rsid w:val="00953604"/>
    <w:rsid w:val="0095496B"/>
    <w:rsid w:val="00954D4B"/>
    <w:rsid w:val="009567EA"/>
    <w:rsid w:val="00960627"/>
    <w:rsid w:val="009610DC"/>
    <w:rsid w:val="00961206"/>
    <w:rsid w:val="00961490"/>
    <w:rsid w:val="00962EA5"/>
    <w:rsid w:val="0096381A"/>
    <w:rsid w:val="00965D4C"/>
    <w:rsid w:val="00965E04"/>
    <w:rsid w:val="009666FF"/>
    <w:rsid w:val="009674AD"/>
    <w:rsid w:val="00970CDC"/>
    <w:rsid w:val="00977010"/>
    <w:rsid w:val="00977D02"/>
    <w:rsid w:val="009809BB"/>
    <w:rsid w:val="0098364B"/>
    <w:rsid w:val="00990D64"/>
    <w:rsid w:val="009911AF"/>
    <w:rsid w:val="00991875"/>
    <w:rsid w:val="00991F92"/>
    <w:rsid w:val="00992985"/>
    <w:rsid w:val="00993889"/>
    <w:rsid w:val="0099487F"/>
    <w:rsid w:val="00995493"/>
    <w:rsid w:val="0099551B"/>
    <w:rsid w:val="009971BA"/>
    <w:rsid w:val="00997BF1"/>
    <w:rsid w:val="009A089C"/>
    <w:rsid w:val="009A118E"/>
    <w:rsid w:val="009A21CD"/>
    <w:rsid w:val="009A23D0"/>
    <w:rsid w:val="009A278C"/>
    <w:rsid w:val="009A2BC2"/>
    <w:rsid w:val="009A42C1"/>
    <w:rsid w:val="009A5429"/>
    <w:rsid w:val="009A72AD"/>
    <w:rsid w:val="009B01E5"/>
    <w:rsid w:val="009B09E0"/>
    <w:rsid w:val="009B0BC5"/>
    <w:rsid w:val="009B1247"/>
    <w:rsid w:val="009B46F9"/>
    <w:rsid w:val="009B6029"/>
    <w:rsid w:val="009B6971"/>
    <w:rsid w:val="009B782A"/>
    <w:rsid w:val="009C022F"/>
    <w:rsid w:val="009C27F1"/>
    <w:rsid w:val="009C3152"/>
    <w:rsid w:val="009C4CFA"/>
    <w:rsid w:val="009C5070"/>
    <w:rsid w:val="009D112C"/>
    <w:rsid w:val="009D273F"/>
    <w:rsid w:val="009D31E9"/>
    <w:rsid w:val="009D4473"/>
    <w:rsid w:val="009D45B9"/>
    <w:rsid w:val="009D47FA"/>
    <w:rsid w:val="009D4C5B"/>
    <w:rsid w:val="009D50D2"/>
    <w:rsid w:val="009D6BCA"/>
    <w:rsid w:val="009E0F62"/>
    <w:rsid w:val="009E2118"/>
    <w:rsid w:val="009E424A"/>
    <w:rsid w:val="009E4A58"/>
    <w:rsid w:val="009E51F4"/>
    <w:rsid w:val="009E5A2D"/>
    <w:rsid w:val="009E5AB2"/>
    <w:rsid w:val="009E5B5F"/>
    <w:rsid w:val="009E6219"/>
    <w:rsid w:val="009F03B3"/>
    <w:rsid w:val="00A0096C"/>
    <w:rsid w:val="00A00BCF"/>
    <w:rsid w:val="00A01757"/>
    <w:rsid w:val="00A01758"/>
    <w:rsid w:val="00A028C0"/>
    <w:rsid w:val="00A02BAE"/>
    <w:rsid w:val="00A04006"/>
    <w:rsid w:val="00A05574"/>
    <w:rsid w:val="00A06A6B"/>
    <w:rsid w:val="00A07CA8"/>
    <w:rsid w:val="00A07E47"/>
    <w:rsid w:val="00A126C2"/>
    <w:rsid w:val="00A129D0"/>
    <w:rsid w:val="00A12C33"/>
    <w:rsid w:val="00A138BA"/>
    <w:rsid w:val="00A14C8E"/>
    <w:rsid w:val="00A153D9"/>
    <w:rsid w:val="00A15F09"/>
    <w:rsid w:val="00A169B6"/>
    <w:rsid w:val="00A2271D"/>
    <w:rsid w:val="00A22E96"/>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27E"/>
    <w:rsid w:val="00A4661E"/>
    <w:rsid w:val="00A5147B"/>
    <w:rsid w:val="00A55BD6"/>
    <w:rsid w:val="00A55D50"/>
    <w:rsid w:val="00A57142"/>
    <w:rsid w:val="00A648CD"/>
    <w:rsid w:val="00A64A48"/>
    <w:rsid w:val="00A6537A"/>
    <w:rsid w:val="00A654A3"/>
    <w:rsid w:val="00A67866"/>
    <w:rsid w:val="00A70B07"/>
    <w:rsid w:val="00A723F8"/>
    <w:rsid w:val="00A72B9A"/>
    <w:rsid w:val="00A7375C"/>
    <w:rsid w:val="00A77CCB"/>
    <w:rsid w:val="00A804C0"/>
    <w:rsid w:val="00A839CC"/>
    <w:rsid w:val="00A83D8D"/>
    <w:rsid w:val="00A83F2B"/>
    <w:rsid w:val="00A8446B"/>
    <w:rsid w:val="00A8473F"/>
    <w:rsid w:val="00A862D6"/>
    <w:rsid w:val="00A8715E"/>
    <w:rsid w:val="00A9295B"/>
    <w:rsid w:val="00A93B09"/>
    <w:rsid w:val="00A93B52"/>
    <w:rsid w:val="00A94247"/>
    <w:rsid w:val="00A952D7"/>
    <w:rsid w:val="00A963F7"/>
    <w:rsid w:val="00A96AD8"/>
    <w:rsid w:val="00AA052C"/>
    <w:rsid w:val="00AA1E45"/>
    <w:rsid w:val="00AA1F36"/>
    <w:rsid w:val="00AA4286"/>
    <w:rsid w:val="00AA456B"/>
    <w:rsid w:val="00AA4C52"/>
    <w:rsid w:val="00AA57F5"/>
    <w:rsid w:val="00AA672E"/>
    <w:rsid w:val="00AA6EC9"/>
    <w:rsid w:val="00AB41D5"/>
    <w:rsid w:val="00AB6309"/>
    <w:rsid w:val="00AB6C5F"/>
    <w:rsid w:val="00AB7129"/>
    <w:rsid w:val="00AC27A6"/>
    <w:rsid w:val="00AC30F7"/>
    <w:rsid w:val="00AC3A5A"/>
    <w:rsid w:val="00AC4D95"/>
    <w:rsid w:val="00AC5DF4"/>
    <w:rsid w:val="00AC611D"/>
    <w:rsid w:val="00AD0367"/>
    <w:rsid w:val="00AD04EB"/>
    <w:rsid w:val="00AD0AAA"/>
    <w:rsid w:val="00AD0AEF"/>
    <w:rsid w:val="00AD11B7"/>
    <w:rsid w:val="00AD1A94"/>
    <w:rsid w:val="00AD1C05"/>
    <w:rsid w:val="00AD4126"/>
    <w:rsid w:val="00AD421C"/>
    <w:rsid w:val="00AD44FA"/>
    <w:rsid w:val="00AE070A"/>
    <w:rsid w:val="00AE0B4D"/>
    <w:rsid w:val="00AE101C"/>
    <w:rsid w:val="00AE333B"/>
    <w:rsid w:val="00AE3642"/>
    <w:rsid w:val="00AE37E5"/>
    <w:rsid w:val="00AE51DD"/>
    <w:rsid w:val="00AE5EB4"/>
    <w:rsid w:val="00AF0C18"/>
    <w:rsid w:val="00AF3F91"/>
    <w:rsid w:val="00AF47C5"/>
    <w:rsid w:val="00AF5398"/>
    <w:rsid w:val="00B0259C"/>
    <w:rsid w:val="00B02E81"/>
    <w:rsid w:val="00B049AF"/>
    <w:rsid w:val="00B07242"/>
    <w:rsid w:val="00B10534"/>
    <w:rsid w:val="00B112A1"/>
    <w:rsid w:val="00B113DB"/>
    <w:rsid w:val="00B118BA"/>
    <w:rsid w:val="00B11D8A"/>
    <w:rsid w:val="00B12529"/>
    <w:rsid w:val="00B12981"/>
    <w:rsid w:val="00B14275"/>
    <w:rsid w:val="00B147DD"/>
    <w:rsid w:val="00B156FD"/>
    <w:rsid w:val="00B15BBD"/>
    <w:rsid w:val="00B15E2E"/>
    <w:rsid w:val="00B2002E"/>
    <w:rsid w:val="00B21F61"/>
    <w:rsid w:val="00B261F1"/>
    <w:rsid w:val="00B265BC"/>
    <w:rsid w:val="00B31FB1"/>
    <w:rsid w:val="00B31FD9"/>
    <w:rsid w:val="00B33952"/>
    <w:rsid w:val="00B33C5E"/>
    <w:rsid w:val="00B342F4"/>
    <w:rsid w:val="00B34369"/>
    <w:rsid w:val="00B34DC2"/>
    <w:rsid w:val="00B35C99"/>
    <w:rsid w:val="00B378E5"/>
    <w:rsid w:val="00B409AE"/>
    <w:rsid w:val="00B43026"/>
    <w:rsid w:val="00B4346D"/>
    <w:rsid w:val="00B440F4"/>
    <w:rsid w:val="00B447A5"/>
    <w:rsid w:val="00B4595E"/>
    <w:rsid w:val="00B45BD4"/>
    <w:rsid w:val="00B4654C"/>
    <w:rsid w:val="00B46AF0"/>
    <w:rsid w:val="00B47293"/>
    <w:rsid w:val="00B50E50"/>
    <w:rsid w:val="00B51E5F"/>
    <w:rsid w:val="00B51E86"/>
    <w:rsid w:val="00B52120"/>
    <w:rsid w:val="00B53A4B"/>
    <w:rsid w:val="00B54ABC"/>
    <w:rsid w:val="00B54DDE"/>
    <w:rsid w:val="00B56FBE"/>
    <w:rsid w:val="00B57F18"/>
    <w:rsid w:val="00B60ACF"/>
    <w:rsid w:val="00B60BA9"/>
    <w:rsid w:val="00B62B58"/>
    <w:rsid w:val="00B65149"/>
    <w:rsid w:val="00B66567"/>
    <w:rsid w:val="00B66F52"/>
    <w:rsid w:val="00B66FE5"/>
    <w:rsid w:val="00B70220"/>
    <w:rsid w:val="00B72880"/>
    <w:rsid w:val="00B731AC"/>
    <w:rsid w:val="00B74482"/>
    <w:rsid w:val="00B758BF"/>
    <w:rsid w:val="00B764EF"/>
    <w:rsid w:val="00B77EC8"/>
    <w:rsid w:val="00B810F6"/>
    <w:rsid w:val="00B827A6"/>
    <w:rsid w:val="00B831CE"/>
    <w:rsid w:val="00B85F9A"/>
    <w:rsid w:val="00B86677"/>
    <w:rsid w:val="00B87131"/>
    <w:rsid w:val="00B908E0"/>
    <w:rsid w:val="00B939B1"/>
    <w:rsid w:val="00B93CE0"/>
    <w:rsid w:val="00B96D40"/>
    <w:rsid w:val="00B97386"/>
    <w:rsid w:val="00BA263B"/>
    <w:rsid w:val="00BA2A2B"/>
    <w:rsid w:val="00BA2C31"/>
    <w:rsid w:val="00BA42B2"/>
    <w:rsid w:val="00BA43D9"/>
    <w:rsid w:val="00BA58D4"/>
    <w:rsid w:val="00BA5B9E"/>
    <w:rsid w:val="00BA7C9A"/>
    <w:rsid w:val="00BB203B"/>
    <w:rsid w:val="00BB5F8F"/>
    <w:rsid w:val="00BB657A"/>
    <w:rsid w:val="00BC1A4E"/>
    <w:rsid w:val="00BC28D6"/>
    <w:rsid w:val="00BC299D"/>
    <w:rsid w:val="00BC4790"/>
    <w:rsid w:val="00BC5DC7"/>
    <w:rsid w:val="00BC6B8B"/>
    <w:rsid w:val="00BC73D8"/>
    <w:rsid w:val="00BD52D7"/>
    <w:rsid w:val="00BD5AD2"/>
    <w:rsid w:val="00BE054B"/>
    <w:rsid w:val="00BE22F3"/>
    <w:rsid w:val="00BE2C4C"/>
    <w:rsid w:val="00BE5B52"/>
    <w:rsid w:val="00BE72BF"/>
    <w:rsid w:val="00BE733D"/>
    <w:rsid w:val="00BE7B8D"/>
    <w:rsid w:val="00BE7E61"/>
    <w:rsid w:val="00BF0993"/>
    <w:rsid w:val="00BF10A9"/>
    <w:rsid w:val="00BF1703"/>
    <w:rsid w:val="00BF231C"/>
    <w:rsid w:val="00BF51E5"/>
    <w:rsid w:val="00BF74A6"/>
    <w:rsid w:val="00C013AD"/>
    <w:rsid w:val="00C013DB"/>
    <w:rsid w:val="00C04904"/>
    <w:rsid w:val="00C056B3"/>
    <w:rsid w:val="00C103B3"/>
    <w:rsid w:val="00C103E5"/>
    <w:rsid w:val="00C13319"/>
    <w:rsid w:val="00C13468"/>
    <w:rsid w:val="00C13EE9"/>
    <w:rsid w:val="00C16E3E"/>
    <w:rsid w:val="00C176F5"/>
    <w:rsid w:val="00C21540"/>
    <w:rsid w:val="00C21906"/>
    <w:rsid w:val="00C21BFA"/>
    <w:rsid w:val="00C22148"/>
    <w:rsid w:val="00C22998"/>
    <w:rsid w:val="00C24C8D"/>
    <w:rsid w:val="00C25FE2"/>
    <w:rsid w:val="00C26423"/>
    <w:rsid w:val="00C26B53"/>
    <w:rsid w:val="00C279B2"/>
    <w:rsid w:val="00C30889"/>
    <w:rsid w:val="00C32A79"/>
    <w:rsid w:val="00C33E50"/>
    <w:rsid w:val="00C34C20"/>
    <w:rsid w:val="00C35A3E"/>
    <w:rsid w:val="00C40871"/>
    <w:rsid w:val="00C42130"/>
    <w:rsid w:val="00C423A4"/>
    <w:rsid w:val="00C44BF5"/>
    <w:rsid w:val="00C50B88"/>
    <w:rsid w:val="00C51E4B"/>
    <w:rsid w:val="00C521D6"/>
    <w:rsid w:val="00C55232"/>
    <w:rsid w:val="00C553A4"/>
    <w:rsid w:val="00C55A06"/>
    <w:rsid w:val="00C55D03"/>
    <w:rsid w:val="00C601BC"/>
    <w:rsid w:val="00C61773"/>
    <w:rsid w:val="00C6329F"/>
    <w:rsid w:val="00C63340"/>
    <w:rsid w:val="00C64232"/>
    <w:rsid w:val="00C643F9"/>
    <w:rsid w:val="00C64E95"/>
    <w:rsid w:val="00C71372"/>
    <w:rsid w:val="00C72410"/>
    <w:rsid w:val="00C7287F"/>
    <w:rsid w:val="00C72E73"/>
    <w:rsid w:val="00C76178"/>
    <w:rsid w:val="00C76370"/>
    <w:rsid w:val="00C80982"/>
    <w:rsid w:val="00C80B94"/>
    <w:rsid w:val="00C80CB8"/>
    <w:rsid w:val="00C819F8"/>
    <w:rsid w:val="00C8248C"/>
    <w:rsid w:val="00C84D1E"/>
    <w:rsid w:val="00C84E33"/>
    <w:rsid w:val="00C8583A"/>
    <w:rsid w:val="00C86D6F"/>
    <w:rsid w:val="00C905FC"/>
    <w:rsid w:val="00C92D03"/>
    <w:rsid w:val="00C9319C"/>
    <w:rsid w:val="00C9435D"/>
    <w:rsid w:val="00C94DF2"/>
    <w:rsid w:val="00C96741"/>
    <w:rsid w:val="00CA13F3"/>
    <w:rsid w:val="00CA292F"/>
    <w:rsid w:val="00CA2D1B"/>
    <w:rsid w:val="00CA375D"/>
    <w:rsid w:val="00CA3E5F"/>
    <w:rsid w:val="00CA4610"/>
    <w:rsid w:val="00CA4EC3"/>
    <w:rsid w:val="00CA662A"/>
    <w:rsid w:val="00CA7AFD"/>
    <w:rsid w:val="00CA7C3C"/>
    <w:rsid w:val="00CB0189"/>
    <w:rsid w:val="00CB0BA2"/>
    <w:rsid w:val="00CB1A42"/>
    <w:rsid w:val="00CB1B0C"/>
    <w:rsid w:val="00CB2C0B"/>
    <w:rsid w:val="00CB517D"/>
    <w:rsid w:val="00CC038D"/>
    <w:rsid w:val="00CC08DB"/>
    <w:rsid w:val="00CC2EBB"/>
    <w:rsid w:val="00CC39FF"/>
    <w:rsid w:val="00CC3C2F"/>
    <w:rsid w:val="00CC4AC8"/>
    <w:rsid w:val="00CC5233"/>
    <w:rsid w:val="00CC5DE6"/>
    <w:rsid w:val="00CC6E4E"/>
    <w:rsid w:val="00CC6FE8"/>
    <w:rsid w:val="00CC7202"/>
    <w:rsid w:val="00CC78E6"/>
    <w:rsid w:val="00CD2808"/>
    <w:rsid w:val="00CD28BF"/>
    <w:rsid w:val="00CD4092"/>
    <w:rsid w:val="00CD4A20"/>
    <w:rsid w:val="00CD50A1"/>
    <w:rsid w:val="00CD519E"/>
    <w:rsid w:val="00CD561D"/>
    <w:rsid w:val="00CD5FF8"/>
    <w:rsid w:val="00CE0C4F"/>
    <w:rsid w:val="00CE30EA"/>
    <w:rsid w:val="00CE3F96"/>
    <w:rsid w:val="00CE7537"/>
    <w:rsid w:val="00CE7B1B"/>
    <w:rsid w:val="00CF048A"/>
    <w:rsid w:val="00CF155A"/>
    <w:rsid w:val="00CF1773"/>
    <w:rsid w:val="00CF2947"/>
    <w:rsid w:val="00CF3FAB"/>
    <w:rsid w:val="00CF4001"/>
    <w:rsid w:val="00CF5C51"/>
    <w:rsid w:val="00CF686F"/>
    <w:rsid w:val="00CF6E60"/>
    <w:rsid w:val="00CF7A51"/>
    <w:rsid w:val="00CF7BCA"/>
    <w:rsid w:val="00D008FD"/>
    <w:rsid w:val="00D01B06"/>
    <w:rsid w:val="00D0321C"/>
    <w:rsid w:val="00D035EC"/>
    <w:rsid w:val="00D06AB1"/>
    <w:rsid w:val="00D072ED"/>
    <w:rsid w:val="00D0750F"/>
    <w:rsid w:val="00D07A16"/>
    <w:rsid w:val="00D1067E"/>
    <w:rsid w:val="00D10F50"/>
    <w:rsid w:val="00D11272"/>
    <w:rsid w:val="00D126F5"/>
    <w:rsid w:val="00D1489E"/>
    <w:rsid w:val="00D15860"/>
    <w:rsid w:val="00D17BBC"/>
    <w:rsid w:val="00D17E6D"/>
    <w:rsid w:val="00D20737"/>
    <w:rsid w:val="00D21E81"/>
    <w:rsid w:val="00D223DE"/>
    <w:rsid w:val="00D25E37"/>
    <w:rsid w:val="00D26218"/>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5766E"/>
    <w:rsid w:val="00D66846"/>
    <w:rsid w:val="00D675FB"/>
    <w:rsid w:val="00D71F25"/>
    <w:rsid w:val="00D72A9C"/>
    <w:rsid w:val="00D72B2C"/>
    <w:rsid w:val="00D77031"/>
    <w:rsid w:val="00D81FB9"/>
    <w:rsid w:val="00D8444B"/>
    <w:rsid w:val="00D84941"/>
    <w:rsid w:val="00D84FA1"/>
    <w:rsid w:val="00D851F0"/>
    <w:rsid w:val="00D86DB7"/>
    <w:rsid w:val="00D91A64"/>
    <w:rsid w:val="00D926D0"/>
    <w:rsid w:val="00D93030"/>
    <w:rsid w:val="00D950E1"/>
    <w:rsid w:val="00D952A6"/>
    <w:rsid w:val="00D97807"/>
    <w:rsid w:val="00D97F99"/>
    <w:rsid w:val="00DA1E08"/>
    <w:rsid w:val="00DA24F8"/>
    <w:rsid w:val="00DA28E8"/>
    <w:rsid w:val="00DA38D3"/>
    <w:rsid w:val="00DA3932"/>
    <w:rsid w:val="00DA3AFC"/>
    <w:rsid w:val="00DA5191"/>
    <w:rsid w:val="00DA644E"/>
    <w:rsid w:val="00DA64F8"/>
    <w:rsid w:val="00DA6C15"/>
    <w:rsid w:val="00DA74F1"/>
    <w:rsid w:val="00DB01D8"/>
    <w:rsid w:val="00DB0258"/>
    <w:rsid w:val="00DB1B4E"/>
    <w:rsid w:val="00DB38EE"/>
    <w:rsid w:val="00DB498B"/>
    <w:rsid w:val="00DB66CA"/>
    <w:rsid w:val="00DB6BCA"/>
    <w:rsid w:val="00DB73F7"/>
    <w:rsid w:val="00DC0321"/>
    <w:rsid w:val="00DC1D4D"/>
    <w:rsid w:val="00DC3067"/>
    <w:rsid w:val="00DC370B"/>
    <w:rsid w:val="00DC5B90"/>
    <w:rsid w:val="00DD00FF"/>
    <w:rsid w:val="00DD0619"/>
    <w:rsid w:val="00DD07FB"/>
    <w:rsid w:val="00DD25C6"/>
    <w:rsid w:val="00DD4FE5"/>
    <w:rsid w:val="00DD54B0"/>
    <w:rsid w:val="00DD57EE"/>
    <w:rsid w:val="00DD5A29"/>
    <w:rsid w:val="00DD5D0D"/>
    <w:rsid w:val="00DD6BCC"/>
    <w:rsid w:val="00DE0A4B"/>
    <w:rsid w:val="00DE0D36"/>
    <w:rsid w:val="00DE2142"/>
    <w:rsid w:val="00DE2410"/>
    <w:rsid w:val="00DE2939"/>
    <w:rsid w:val="00DE6E81"/>
    <w:rsid w:val="00DE703F"/>
    <w:rsid w:val="00DE7595"/>
    <w:rsid w:val="00DF0A43"/>
    <w:rsid w:val="00DF1961"/>
    <w:rsid w:val="00DF403B"/>
    <w:rsid w:val="00DF44DE"/>
    <w:rsid w:val="00DF5F11"/>
    <w:rsid w:val="00DF64D6"/>
    <w:rsid w:val="00DF7EE4"/>
    <w:rsid w:val="00E01138"/>
    <w:rsid w:val="00E02DFB"/>
    <w:rsid w:val="00E030F9"/>
    <w:rsid w:val="00E0311A"/>
    <w:rsid w:val="00E03138"/>
    <w:rsid w:val="00E04650"/>
    <w:rsid w:val="00E05EBE"/>
    <w:rsid w:val="00E06333"/>
    <w:rsid w:val="00E06389"/>
    <w:rsid w:val="00E06404"/>
    <w:rsid w:val="00E065D2"/>
    <w:rsid w:val="00E11A85"/>
    <w:rsid w:val="00E12495"/>
    <w:rsid w:val="00E1487E"/>
    <w:rsid w:val="00E15CCD"/>
    <w:rsid w:val="00E202EF"/>
    <w:rsid w:val="00E210B5"/>
    <w:rsid w:val="00E22E90"/>
    <w:rsid w:val="00E23D99"/>
    <w:rsid w:val="00E2552F"/>
    <w:rsid w:val="00E25FD2"/>
    <w:rsid w:val="00E2621B"/>
    <w:rsid w:val="00E3137A"/>
    <w:rsid w:val="00E32CCF"/>
    <w:rsid w:val="00E344C9"/>
    <w:rsid w:val="00E34A98"/>
    <w:rsid w:val="00E35D1E"/>
    <w:rsid w:val="00E364F9"/>
    <w:rsid w:val="00E365FA"/>
    <w:rsid w:val="00E36789"/>
    <w:rsid w:val="00E419C9"/>
    <w:rsid w:val="00E42BDB"/>
    <w:rsid w:val="00E44A83"/>
    <w:rsid w:val="00E46DDB"/>
    <w:rsid w:val="00E50146"/>
    <w:rsid w:val="00E502C1"/>
    <w:rsid w:val="00E502DD"/>
    <w:rsid w:val="00E5079E"/>
    <w:rsid w:val="00E50D3A"/>
    <w:rsid w:val="00E51387"/>
    <w:rsid w:val="00E51E68"/>
    <w:rsid w:val="00E52EFD"/>
    <w:rsid w:val="00E531D5"/>
    <w:rsid w:val="00E5408A"/>
    <w:rsid w:val="00E56800"/>
    <w:rsid w:val="00E60C63"/>
    <w:rsid w:val="00E62FF9"/>
    <w:rsid w:val="00E635D6"/>
    <w:rsid w:val="00E639BC"/>
    <w:rsid w:val="00E63E1E"/>
    <w:rsid w:val="00E66024"/>
    <w:rsid w:val="00E664CC"/>
    <w:rsid w:val="00E70388"/>
    <w:rsid w:val="00E70F92"/>
    <w:rsid w:val="00E74C54"/>
    <w:rsid w:val="00E77A03"/>
    <w:rsid w:val="00E822E8"/>
    <w:rsid w:val="00E82554"/>
    <w:rsid w:val="00E82606"/>
    <w:rsid w:val="00E846C8"/>
    <w:rsid w:val="00E84957"/>
    <w:rsid w:val="00E84A55"/>
    <w:rsid w:val="00E85303"/>
    <w:rsid w:val="00E8586A"/>
    <w:rsid w:val="00E85BFF"/>
    <w:rsid w:val="00E86604"/>
    <w:rsid w:val="00E90391"/>
    <w:rsid w:val="00E906C2"/>
    <w:rsid w:val="00E90A3D"/>
    <w:rsid w:val="00E9311F"/>
    <w:rsid w:val="00E934D1"/>
    <w:rsid w:val="00E94AF0"/>
    <w:rsid w:val="00E9511D"/>
    <w:rsid w:val="00E95D13"/>
    <w:rsid w:val="00E95DD3"/>
    <w:rsid w:val="00E96641"/>
    <w:rsid w:val="00E969D5"/>
    <w:rsid w:val="00EA0F33"/>
    <w:rsid w:val="00EA18AD"/>
    <w:rsid w:val="00EA58D1"/>
    <w:rsid w:val="00EA61BC"/>
    <w:rsid w:val="00EA681A"/>
    <w:rsid w:val="00EA735B"/>
    <w:rsid w:val="00EA7E54"/>
    <w:rsid w:val="00EB17DE"/>
    <w:rsid w:val="00EB1E69"/>
    <w:rsid w:val="00EB2086"/>
    <w:rsid w:val="00EB2286"/>
    <w:rsid w:val="00EB2AAE"/>
    <w:rsid w:val="00EB46C6"/>
    <w:rsid w:val="00EB5EDF"/>
    <w:rsid w:val="00EB60FE"/>
    <w:rsid w:val="00EB74DB"/>
    <w:rsid w:val="00EC1962"/>
    <w:rsid w:val="00EC5359"/>
    <w:rsid w:val="00EC562A"/>
    <w:rsid w:val="00EC59FF"/>
    <w:rsid w:val="00ED067A"/>
    <w:rsid w:val="00ED2B50"/>
    <w:rsid w:val="00ED3CD1"/>
    <w:rsid w:val="00EE0350"/>
    <w:rsid w:val="00EE0719"/>
    <w:rsid w:val="00EE0E80"/>
    <w:rsid w:val="00EE1338"/>
    <w:rsid w:val="00EE54A6"/>
    <w:rsid w:val="00EE613F"/>
    <w:rsid w:val="00EE7295"/>
    <w:rsid w:val="00EE7869"/>
    <w:rsid w:val="00EE7987"/>
    <w:rsid w:val="00EF054A"/>
    <w:rsid w:val="00EF3235"/>
    <w:rsid w:val="00EF7E72"/>
    <w:rsid w:val="00F022CD"/>
    <w:rsid w:val="00F027A6"/>
    <w:rsid w:val="00F04EF4"/>
    <w:rsid w:val="00F06D37"/>
    <w:rsid w:val="00F07B9D"/>
    <w:rsid w:val="00F11586"/>
    <w:rsid w:val="00F1183B"/>
    <w:rsid w:val="00F11C9F"/>
    <w:rsid w:val="00F12263"/>
    <w:rsid w:val="00F1409D"/>
    <w:rsid w:val="00F14214"/>
    <w:rsid w:val="00F14297"/>
    <w:rsid w:val="00F1517F"/>
    <w:rsid w:val="00F157A9"/>
    <w:rsid w:val="00F25BB6"/>
    <w:rsid w:val="00F26B7E"/>
    <w:rsid w:val="00F27A3B"/>
    <w:rsid w:val="00F3011B"/>
    <w:rsid w:val="00F301DC"/>
    <w:rsid w:val="00F33817"/>
    <w:rsid w:val="00F35974"/>
    <w:rsid w:val="00F369B2"/>
    <w:rsid w:val="00F37015"/>
    <w:rsid w:val="00F420D5"/>
    <w:rsid w:val="00F432E1"/>
    <w:rsid w:val="00F451EA"/>
    <w:rsid w:val="00F45447"/>
    <w:rsid w:val="00F456C6"/>
    <w:rsid w:val="00F4577B"/>
    <w:rsid w:val="00F46496"/>
    <w:rsid w:val="00F474D0"/>
    <w:rsid w:val="00F50179"/>
    <w:rsid w:val="00F50D40"/>
    <w:rsid w:val="00F515EE"/>
    <w:rsid w:val="00F54DF9"/>
    <w:rsid w:val="00F56511"/>
    <w:rsid w:val="00F57AF4"/>
    <w:rsid w:val="00F60659"/>
    <w:rsid w:val="00F60E4A"/>
    <w:rsid w:val="00F6194E"/>
    <w:rsid w:val="00F61AF6"/>
    <w:rsid w:val="00F623AC"/>
    <w:rsid w:val="00F63804"/>
    <w:rsid w:val="00F6412A"/>
    <w:rsid w:val="00F6465A"/>
    <w:rsid w:val="00F64D9C"/>
    <w:rsid w:val="00F654A6"/>
    <w:rsid w:val="00F65893"/>
    <w:rsid w:val="00F66270"/>
    <w:rsid w:val="00F66A4A"/>
    <w:rsid w:val="00F67751"/>
    <w:rsid w:val="00F71E22"/>
    <w:rsid w:val="00F72142"/>
    <w:rsid w:val="00F72AE7"/>
    <w:rsid w:val="00F7407A"/>
    <w:rsid w:val="00F81141"/>
    <w:rsid w:val="00F833BA"/>
    <w:rsid w:val="00F84BB8"/>
    <w:rsid w:val="00F84FD0"/>
    <w:rsid w:val="00F859A8"/>
    <w:rsid w:val="00F86D87"/>
    <w:rsid w:val="00F86F45"/>
    <w:rsid w:val="00F9108B"/>
    <w:rsid w:val="00F91349"/>
    <w:rsid w:val="00F93A8A"/>
    <w:rsid w:val="00F93B92"/>
    <w:rsid w:val="00F95248"/>
    <w:rsid w:val="00F956A9"/>
    <w:rsid w:val="00F956CF"/>
    <w:rsid w:val="00F963ED"/>
    <w:rsid w:val="00F966CF"/>
    <w:rsid w:val="00F96CAE"/>
    <w:rsid w:val="00F97C99"/>
    <w:rsid w:val="00FA10E7"/>
    <w:rsid w:val="00FA4DAC"/>
    <w:rsid w:val="00FA5F26"/>
    <w:rsid w:val="00FA662D"/>
    <w:rsid w:val="00FA6784"/>
    <w:rsid w:val="00FA73B1"/>
    <w:rsid w:val="00FB0CB9"/>
    <w:rsid w:val="00FB231D"/>
    <w:rsid w:val="00FB3C77"/>
    <w:rsid w:val="00FB45F1"/>
    <w:rsid w:val="00FB4A72"/>
    <w:rsid w:val="00FB54E8"/>
    <w:rsid w:val="00FB6C93"/>
    <w:rsid w:val="00FB6D0C"/>
    <w:rsid w:val="00FB7054"/>
    <w:rsid w:val="00FC17B7"/>
    <w:rsid w:val="00FC1E3C"/>
    <w:rsid w:val="00FC2BA5"/>
    <w:rsid w:val="00FC2CB7"/>
    <w:rsid w:val="00FC4090"/>
    <w:rsid w:val="00FC55B4"/>
    <w:rsid w:val="00FD00E6"/>
    <w:rsid w:val="00FD09A1"/>
    <w:rsid w:val="00FD2A7C"/>
    <w:rsid w:val="00FD59EB"/>
    <w:rsid w:val="00FD7299"/>
    <w:rsid w:val="00FE16C5"/>
    <w:rsid w:val="00FE1FBE"/>
    <w:rsid w:val="00FE3901"/>
    <w:rsid w:val="00FE39D3"/>
    <w:rsid w:val="00FE4BCE"/>
    <w:rsid w:val="00FE54AE"/>
    <w:rsid w:val="00FE576A"/>
    <w:rsid w:val="00FE7E79"/>
    <w:rsid w:val="00FF3E7D"/>
    <w:rsid w:val="00FF5B99"/>
    <w:rsid w:val="00FF6A39"/>
    <w:rsid w:val="00FF7166"/>
    <w:rsid w:val="00FF730C"/>
    <w:rsid w:val="00FF73F4"/>
    <w:rsid w:val="00FF7CE4"/>
    <w:rsid w:val="00FF7E39"/>
    <w:rsid w:val="010F1DA1"/>
    <w:rsid w:val="013F0B6D"/>
    <w:rsid w:val="02D21215"/>
    <w:rsid w:val="02D74B40"/>
    <w:rsid w:val="03A91F0D"/>
    <w:rsid w:val="052B2F21"/>
    <w:rsid w:val="06EB19EB"/>
    <w:rsid w:val="06F86E33"/>
    <w:rsid w:val="07824DDD"/>
    <w:rsid w:val="08033CE1"/>
    <w:rsid w:val="09353BD7"/>
    <w:rsid w:val="09B476DE"/>
    <w:rsid w:val="0BEB5AB0"/>
    <w:rsid w:val="0CEB5312"/>
    <w:rsid w:val="0DB72B40"/>
    <w:rsid w:val="0E7C524C"/>
    <w:rsid w:val="0F8120BC"/>
    <w:rsid w:val="10DE2257"/>
    <w:rsid w:val="1119379E"/>
    <w:rsid w:val="11256243"/>
    <w:rsid w:val="11DE1CDD"/>
    <w:rsid w:val="12354002"/>
    <w:rsid w:val="124F4AE9"/>
    <w:rsid w:val="12555A81"/>
    <w:rsid w:val="13777FE7"/>
    <w:rsid w:val="13B44A8A"/>
    <w:rsid w:val="13EB7B27"/>
    <w:rsid w:val="1449673E"/>
    <w:rsid w:val="165F7F11"/>
    <w:rsid w:val="175525D1"/>
    <w:rsid w:val="17B70D6E"/>
    <w:rsid w:val="18F57CCF"/>
    <w:rsid w:val="1A644600"/>
    <w:rsid w:val="1AD519FA"/>
    <w:rsid w:val="1AF638B2"/>
    <w:rsid w:val="1C980A44"/>
    <w:rsid w:val="1D095BB5"/>
    <w:rsid w:val="1D1F0F6C"/>
    <w:rsid w:val="1D5E2266"/>
    <w:rsid w:val="1E4A2212"/>
    <w:rsid w:val="1EAD022D"/>
    <w:rsid w:val="1EDA5344"/>
    <w:rsid w:val="1EF65F70"/>
    <w:rsid w:val="1F19312F"/>
    <w:rsid w:val="1F196CBA"/>
    <w:rsid w:val="1F3E0829"/>
    <w:rsid w:val="21D66572"/>
    <w:rsid w:val="22ED2F57"/>
    <w:rsid w:val="237C2E6E"/>
    <w:rsid w:val="24EB3963"/>
    <w:rsid w:val="252A7AD3"/>
    <w:rsid w:val="25341526"/>
    <w:rsid w:val="25AA1ED9"/>
    <w:rsid w:val="262C3AAA"/>
    <w:rsid w:val="2665538A"/>
    <w:rsid w:val="27797BAA"/>
    <w:rsid w:val="27910EB2"/>
    <w:rsid w:val="284F58EA"/>
    <w:rsid w:val="28843333"/>
    <w:rsid w:val="29D1476A"/>
    <w:rsid w:val="2AE553C9"/>
    <w:rsid w:val="2AFC6B14"/>
    <w:rsid w:val="2B1D323A"/>
    <w:rsid w:val="2B2A3B5F"/>
    <w:rsid w:val="2B595F2F"/>
    <w:rsid w:val="2BB317A0"/>
    <w:rsid w:val="2BD9641D"/>
    <w:rsid w:val="2C2F0132"/>
    <w:rsid w:val="2D855D5C"/>
    <w:rsid w:val="2DCE6C9C"/>
    <w:rsid w:val="2E816B99"/>
    <w:rsid w:val="2E9039A0"/>
    <w:rsid w:val="2FFE4C0B"/>
    <w:rsid w:val="30384ACA"/>
    <w:rsid w:val="30642D7E"/>
    <w:rsid w:val="30CE0A81"/>
    <w:rsid w:val="310723C6"/>
    <w:rsid w:val="32025A73"/>
    <w:rsid w:val="32D23D60"/>
    <w:rsid w:val="33582884"/>
    <w:rsid w:val="34E17CDF"/>
    <w:rsid w:val="37203705"/>
    <w:rsid w:val="37464D86"/>
    <w:rsid w:val="37C500EE"/>
    <w:rsid w:val="3A3758E9"/>
    <w:rsid w:val="3A875806"/>
    <w:rsid w:val="3ADA484D"/>
    <w:rsid w:val="3AED6030"/>
    <w:rsid w:val="3B7A10AA"/>
    <w:rsid w:val="3D014A01"/>
    <w:rsid w:val="3D5B12D7"/>
    <w:rsid w:val="3DD10A8C"/>
    <w:rsid w:val="3E956F42"/>
    <w:rsid w:val="3F22606A"/>
    <w:rsid w:val="400C4B76"/>
    <w:rsid w:val="40E2575E"/>
    <w:rsid w:val="413C70B5"/>
    <w:rsid w:val="41E55C2A"/>
    <w:rsid w:val="420778F3"/>
    <w:rsid w:val="43245C1B"/>
    <w:rsid w:val="448F3F65"/>
    <w:rsid w:val="44935558"/>
    <w:rsid w:val="46794D72"/>
    <w:rsid w:val="46FB576F"/>
    <w:rsid w:val="478517A1"/>
    <w:rsid w:val="4855747A"/>
    <w:rsid w:val="488D7BBF"/>
    <w:rsid w:val="49372818"/>
    <w:rsid w:val="4B6127C6"/>
    <w:rsid w:val="4C0A4BFB"/>
    <w:rsid w:val="4C8769A9"/>
    <w:rsid w:val="4CD3185E"/>
    <w:rsid w:val="4D3E12ED"/>
    <w:rsid w:val="4F180E0B"/>
    <w:rsid w:val="4F3007F7"/>
    <w:rsid w:val="506758E0"/>
    <w:rsid w:val="517D35E3"/>
    <w:rsid w:val="51C45809"/>
    <w:rsid w:val="528E3573"/>
    <w:rsid w:val="53AC59E5"/>
    <w:rsid w:val="53D0147B"/>
    <w:rsid w:val="54465797"/>
    <w:rsid w:val="557F41D6"/>
    <w:rsid w:val="559430BC"/>
    <w:rsid w:val="55C67DF5"/>
    <w:rsid w:val="56E44612"/>
    <w:rsid w:val="57FA3666"/>
    <w:rsid w:val="57FF7273"/>
    <w:rsid w:val="58D17833"/>
    <w:rsid w:val="596659E4"/>
    <w:rsid w:val="59A10938"/>
    <w:rsid w:val="5ABA15AB"/>
    <w:rsid w:val="5B253F10"/>
    <w:rsid w:val="5B6A253B"/>
    <w:rsid w:val="5B9A2C67"/>
    <w:rsid w:val="5D2C6B89"/>
    <w:rsid w:val="5D5340D1"/>
    <w:rsid w:val="5EF72A48"/>
    <w:rsid w:val="60CE410F"/>
    <w:rsid w:val="614E6EF1"/>
    <w:rsid w:val="6195417E"/>
    <w:rsid w:val="623A2F9D"/>
    <w:rsid w:val="62935466"/>
    <w:rsid w:val="640F4477"/>
    <w:rsid w:val="64CE3197"/>
    <w:rsid w:val="65924CA9"/>
    <w:rsid w:val="67030D86"/>
    <w:rsid w:val="67B430CB"/>
    <w:rsid w:val="68620BA2"/>
    <w:rsid w:val="6A694417"/>
    <w:rsid w:val="6C5B3839"/>
    <w:rsid w:val="6CA520FA"/>
    <w:rsid w:val="6DE531BD"/>
    <w:rsid w:val="6E27193B"/>
    <w:rsid w:val="6EF51F98"/>
    <w:rsid w:val="714D4ACF"/>
    <w:rsid w:val="72203F91"/>
    <w:rsid w:val="737E498B"/>
    <w:rsid w:val="73B21061"/>
    <w:rsid w:val="7471102F"/>
    <w:rsid w:val="74903B89"/>
    <w:rsid w:val="76125DC3"/>
    <w:rsid w:val="761A3081"/>
    <w:rsid w:val="764001A5"/>
    <w:rsid w:val="765B7164"/>
    <w:rsid w:val="768A1FF1"/>
    <w:rsid w:val="76E94B0E"/>
    <w:rsid w:val="76EB1078"/>
    <w:rsid w:val="779862E0"/>
    <w:rsid w:val="77E94393"/>
    <w:rsid w:val="78F3397D"/>
    <w:rsid w:val="79F619A6"/>
    <w:rsid w:val="7D965A4F"/>
    <w:rsid w:val="7DE93453"/>
    <w:rsid w:val="7EC743BC"/>
    <w:rsid w:val="7EF57BBC"/>
    <w:rsid w:val="7F0F2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4">
    <w:name w:val="heading 1"/>
    <w:basedOn w:val="1"/>
    <w:next w:val="1"/>
    <w:link w:val="37"/>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8"/>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9"/>
    <w:autoRedefine/>
    <w:qFormat/>
    <w:uiPriority w:val="0"/>
    <w:pPr>
      <w:keepNext/>
      <w:keepLines/>
      <w:spacing w:before="260" w:after="260" w:line="416" w:lineRule="auto"/>
      <w:outlineLvl w:val="2"/>
    </w:pPr>
    <w:rPr>
      <w:b/>
      <w:bCs/>
      <w:sz w:val="32"/>
      <w:szCs w:val="32"/>
    </w:rPr>
  </w:style>
  <w:style w:type="paragraph" w:styleId="7">
    <w:name w:val="heading 4"/>
    <w:basedOn w:val="1"/>
    <w:next w:val="1"/>
    <w:link w:val="40"/>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41"/>
    <w:autoRedefine/>
    <w:qFormat/>
    <w:uiPriority w:val="0"/>
    <w:pPr>
      <w:keepNext/>
      <w:keepLines/>
      <w:adjustRightInd/>
      <w:spacing w:before="280" w:after="290" w:line="376" w:lineRule="auto"/>
      <w:outlineLvl w:val="4"/>
    </w:pPr>
    <w:rPr>
      <w:b/>
      <w:bCs/>
      <w:sz w:val="28"/>
      <w:szCs w:val="28"/>
    </w:rPr>
  </w:style>
  <w:style w:type="paragraph" w:styleId="9">
    <w:name w:val="heading 6"/>
    <w:basedOn w:val="1"/>
    <w:next w:val="1"/>
    <w:link w:val="42"/>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10">
    <w:name w:val="heading 7"/>
    <w:basedOn w:val="1"/>
    <w:next w:val="1"/>
    <w:link w:val="43"/>
    <w:autoRedefine/>
    <w:qFormat/>
    <w:uiPriority w:val="0"/>
    <w:pPr>
      <w:keepNext/>
      <w:keepLines/>
      <w:adjustRightInd/>
      <w:spacing w:before="240" w:after="64" w:line="320" w:lineRule="auto"/>
      <w:outlineLvl w:val="6"/>
    </w:pPr>
    <w:rPr>
      <w:b/>
      <w:bCs/>
      <w:sz w:val="24"/>
      <w:szCs w:val="24"/>
    </w:rPr>
  </w:style>
  <w:style w:type="paragraph" w:styleId="11">
    <w:name w:val="heading 8"/>
    <w:basedOn w:val="1"/>
    <w:next w:val="1"/>
    <w:link w:val="44"/>
    <w:autoRedefine/>
    <w:qFormat/>
    <w:uiPriority w:val="0"/>
    <w:pPr>
      <w:keepNext/>
      <w:keepLines/>
      <w:adjustRightInd/>
      <w:spacing w:before="240" w:after="64" w:line="320" w:lineRule="auto"/>
      <w:outlineLvl w:val="7"/>
    </w:pPr>
    <w:rPr>
      <w:rFonts w:ascii="Arial" w:hAnsi="Arial" w:eastAsia="黑体"/>
      <w:sz w:val="24"/>
      <w:szCs w:val="24"/>
    </w:rPr>
  </w:style>
  <w:style w:type="paragraph" w:styleId="12">
    <w:name w:val="heading 9"/>
    <w:basedOn w:val="1"/>
    <w:next w:val="1"/>
    <w:link w:val="45"/>
    <w:autoRedefine/>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spacing w:after="0" w:line="500" w:lineRule="exact"/>
      <w:ind w:firstLine="420"/>
    </w:pPr>
    <w:rPr>
      <w:sz w:val="28"/>
      <w:szCs w:val="28"/>
    </w:rPr>
  </w:style>
  <w:style w:type="paragraph" w:styleId="3">
    <w:name w:val="Body Text"/>
    <w:basedOn w:val="1"/>
    <w:next w:val="2"/>
    <w:link w:val="89"/>
    <w:autoRedefine/>
    <w:qFormat/>
    <w:uiPriority w:val="0"/>
    <w:pPr>
      <w:spacing w:after="120"/>
    </w:pPr>
  </w:style>
  <w:style w:type="paragraph" w:styleId="13">
    <w:name w:val="toc 7"/>
    <w:basedOn w:val="1"/>
    <w:next w:val="1"/>
    <w:autoRedefine/>
    <w:unhideWhenUsed/>
    <w:qFormat/>
    <w:uiPriority w:val="39"/>
    <w:pPr>
      <w:tabs>
        <w:tab w:val="right" w:leader="dot" w:pos="9344"/>
      </w:tabs>
      <w:spacing w:line="300" w:lineRule="exact"/>
      <w:ind w:left="1259"/>
    </w:pPr>
    <w:rPr>
      <w:rFonts w:ascii="宋体"/>
    </w:rPr>
  </w:style>
  <w:style w:type="paragraph" w:styleId="14">
    <w:name w:val="Normal Indent"/>
    <w:basedOn w:val="1"/>
    <w:autoRedefine/>
    <w:qFormat/>
    <w:uiPriority w:val="0"/>
    <w:pPr>
      <w:ind w:firstLine="4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autoRedefine/>
    <w:semiHidden/>
    <w:unhideWhenUsed/>
    <w:qFormat/>
    <w:uiPriority w:val="99"/>
    <w:rPr>
      <w:sz w:val="18"/>
      <w:szCs w:val="18"/>
    </w:rPr>
  </w:style>
  <w:style w:type="paragraph" w:styleId="18">
    <w:name w:val="footer"/>
    <w:basedOn w:val="1"/>
    <w:link w:val="47"/>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Normal (Web)"/>
    <w:basedOn w:val="1"/>
    <w:autoRedefine/>
    <w:semiHidden/>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7">
    <w:name w:val="Title"/>
    <w:basedOn w:val="1"/>
    <w:link w:val="51"/>
    <w:autoRedefine/>
    <w:qFormat/>
    <w:uiPriority w:val="0"/>
    <w:pPr>
      <w:spacing w:before="240" w:after="60"/>
      <w:jc w:val="center"/>
      <w:outlineLvl w:val="0"/>
    </w:pPr>
    <w:rPr>
      <w:rFonts w:ascii="Arial" w:hAnsi="Arial" w:cs="Arial"/>
      <w:b/>
      <w:bCs/>
      <w:sz w:val="32"/>
      <w:szCs w:val="32"/>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22"/>
    <w:rPr>
      <w:b/>
      <w:bCs/>
    </w:rPr>
  </w:style>
  <w:style w:type="character" w:styleId="32">
    <w:name w:val="page number"/>
    <w:autoRedefine/>
    <w:qFormat/>
    <w:uiPriority w:val="0"/>
    <w:rPr>
      <w:rFonts w:ascii="宋体" w:hAnsi="Times New Roman" w:eastAsia="宋体"/>
      <w:sz w:val="18"/>
    </w:rPr>
  </w:style>
  <w:style w:type="character" w:styleId="33">
    <w:name w:val="Emphasis"/>
    <w:autoRedefine/>
    <w:qFormat/>
    <w:uiPriority w:val="20"/>
    <w:rPr>
      <w:i/>
      <w:iCs/>
    </w:rPr>
  </w:style>
  <w:style w:type="character" w:styleId="34">
    <w:name w:val="Hyperlink"/>
    <w:autoRedefine/>
    <w:qFormat/>
    <w:uiPriority w:val="99"/>
    <w:rPr>
      <w:rFonts w:ascii="宋体" w:hAnsi="Times New Roman" w:eastAsia="宋体"/>
      <w:color w:val="auto"/>
      <w:spacing w:val="0"/>
      <w:w w:val="100"/>
      <w:position w:val="0"/>
      <w:sz w:val="21"/>
      <w:u w:val="none"/>
      <w:vertAlign w:val="baseline"/>
    </w:rPr>
  </w:style>
  <w:style w:type="character" w:styleId="35">
    <w:name w:val="footnote reference"/>
    <w:autoRedefine/>
    <w:semiHidden/>
    <w:qFormat/>
    <w:uiPriority w:val="0"/>
    <w:rPr>
      <w:rFonts w:ascii="宋体" w:hAnsi="宋体" w:eastAsia="宋体" w:cs="Times New Roman"/>
      <w:spacing w:val="0"/>
      <w:sz w:val="18"/>
      <w:vertAlign w:val="superscript"/>
    </w:rPr>
  </w:style>
  <w:style w:type="paragraph" w:customStyle="1" w:styleId="36">
    <w:name w:val="正文文本首行缩进1"/>
    <w:basedOn w:val="3"/>
    <w:autoRedefine/>
    <w:qFormat/>
    <w:uiPriority w:val="0"/>
    <w:pPr>
      <w:spacing w:line="500" w:lineRule="exact"/>
      <w:ind w:firstLine="420"/>
    </w:pPr>
    <w:rPr>
      <w:sz w:val="28"/>
    </w:rPr>
  </w:style>
  <w:style w:type="character" w:customStyle="1" w:styleId="37">
    <w:name w:val="标题 1 字符"/>
    <w:link w:val="4"/>
    <w:autoRedefine/>
    <w:qFormat/>
    <w:uiPriority w:val="0"/>
    <w:rPr>
      <w:b/>
      <w:bCs/>
      <w:kern w:val="44"/>
      <w:sz w:val="44"/>
      <w:szCs w:val="44"/>
    </w:rPr>
  </w:style>
  <w:style w:type="character" w:customStyle="1" w:styleId="38">
    <w:name w:val="标题 2 字符"/>
    <w:link w:val="5"/>
    <w:autoRedefine/>
    <w:qFormat/>
    <w:uiPriority w:val="0"/>
    <w:rPr>
      <w:rFonts w:ascii="Arial" w:hAnsi="Arial" w:eastAsia="黑体"/>
      <w:b/>
      <w:bCs/>
      <w:kern w:val="2"/>
      <w:sz w:val="32"/>
      <w:szCs w:val="32"/>
    </w:rPr>
  </w:style>
  <w:style w:type="character" w:customStyle="1" w:styleId="39">
    <w:name w:val="标题 3 字符"/>
    <w:link w:val="6"/>
    <w:autoRedefine/>
    <w:qFormat/>
    <w:uiPriority w:val="0"/>
    <w:rPr>
      <w:b/>
      <w:bCs/>
      <w:kern w:val="2"/>
      <w:sz w:val="32"/>
      <w:szCs w:val="32"/>
    </w:rPr>
  </w:style>
  <w:style w:type="character" w:customStyle="1" w:styleId="40">
    <w:name w:val="标题 4 字符"/>
    <w:link w:val="7"/>
    <w:autoRedefine/>
    <w:qFormat/>
    <w:uiPriority w:val="0"/>
    <w:rPr>
      <w:rFonts w:ascii="Arial" w:hAnsi="Arial" w:eastAsia="黑体"/>
      <w:b/>
      <w:bCs/>
      <w:kern w:val="2"/>
      <w:sz w:val="28"/>
      <w:szCs w:val="28"/>
    </w:rPr>
  </w:style>
  <w:style w:type="character" w:customStyle="1" w:styleId="41">
    <w:name w:val="标题 5 字符"/>
    <w:link w:val="8"/>
    <w:autoRedefine/>
    <w:qFormat/>
    <w:uiPriority w:val="0"/>
    <w:rPr>
      <w:b/>
      <w:bCs/>
      <w:kern w:val="2"/>
      <w:sz w:val="28"/>
      <w:szCs w:val="28"/>
    </w:rPr>
  </w:style>
  <w:style w:type="character" w:customStyle="1" w:styleId="42">
    <w:name w:val="标题 6 字符"/>
    <w:link w:val="9"/>
    <w:autoRedefine/>
    <w:qFormat/>
    <w:uiPriority w:val="0"/>
    <w:rPr>
      <w:rFonts w:ascii="Arial" w:hAnsi="Arial" w:eastAsia="黑体"/>
      <w:b/>
      <w:bCs/>
      <w:kern w:val="2"/>
      <w:sz w:val="24"/>
      <w:szCs w:val="24"/>
    </w:rPr>
  </w:style>
  <w:style w:type="character" w:customStyle="1" w:styleId="43">
    <w:name w:val="标题 7 字符"/>
    <w:link w:val="10"/>
    <w:autoRedefine/>
    <w:qFormat/>
    <w:uiPriority w:val="0"/>
    <w:rPr>
      <w:b/>
      <w:bCs/>
      <w:kern w:val="2"/>
      <w:sz w:val="24"/>
      <w:szCs w:val="24"/>
    </w:rPr>
  </w:style>
  <w:style w:type="character" w:customStyle="1" w:styleId="44">
    <w:name w:val="标题 8 字符"/>
    <w:link w:val="11"/>
    <w:autoRedefine/>
    <w:qFormat/>
    <w:uiPriority w:val="0"/>
    <w:rPr>
      <w:rFonts w:ascii="Arial" w:hAnsi="Arial" w:eastAsia="黑体"/>
      <w:kern w:val="2"/>
      <w:sz w:val="24"/>
      <w:szCs w:val="24"/>
    </w:rPr>
  </w:style>
  <w:style w:type="character" w:customStyle="1" w:styleId="45">
    <w:name w:val="标题 9 字符"/>
    <w:link w:val="12"/>
    <w:autoRedefine/>
    <w:qFormat/>
    <w:uiPriority w:val="0"/>
    <w:rPr>
      <w:rFonts w:ascii="Arial" w:hAnsi="Arial" w:eastAsia="黑体"/>
      <w:kern w:val="2"/>
      <w:sz w:val="21"/>
      <w:szCs w:val="21"/>
    </w:rPr>
  </w:style>
  <w:style w:type="character" w:customStyle="1" w:styleId="46">
    <w:name w:val="页眉 字符"/>
    <w:link w:val="19"/>
    <w:autoRedefine/>
    <w:qFormat/>
    <w:uiPriority w:val="99"/>
    <w:rPr>
      <w:kern w:val="2"/>
      <w:sz w:val="18"/>
      <w:szCs w:val="18"/>
    </w:rPr>
  </w:style>
  <w:style w:type="character" w:customStyle="1" w:styleId="47">
    <w:name w:val="页脚 字符"/>
    <w:link w:val="18"/>
    <w:autoRedefine/>
    <w:qFormat/>
    <w:uiPriority w:val="99"/>
    <w:rPr>
      <w:rFonts w:ascii="宋体"/>
      <w:kern w:val="2"/>
      <w:sz w:val="18"/>
      <w:szCs w:val="18"/>
    </w:rPr>
  </w:style>
  <w:style w:type="character" w:customStyle="1" w:styleId="48">
    <w:name w:val="批注框文本 字符"/>
    <w:link w:val="17"/>
    <w:autoRedefine/>
    <w:semiHidden/>
    <w:qFormat/>
    <w:uiPriority w:val="99"/>
    <w:rPr>
      <w:kern w:val="2"/>
      <w:sz w:val="18"/>
      <w:szCs w:val="18"/>
    </w:rPr>
  </w:style>
  <w:style w:type="paragraph" w:styleId="49">
    <w:name w:val="Quote"/>
    <w:basedOn w:val="1"/>
    <w:next w:val="1"/>
    <w:link w:val="50"/>
    <w:autoRedefine/>
    <w:qFormat/>
    <w:uiPriority w:val="29"/>
    <w:rPr>
      <w:i/>
      <w:iCs/>
      <w:color w:val="000000"/>
    </w:rPr>
  </w:style>
  <w:style w:type="character" w:customStyle="1" w:styleId="50">
    <w:name w:val="引用 字符"/>
    <w:link w:val="49"/>
    <w:autoRedefine/>
    <w:qFormat/>
    <w:uiPriority w:val="29"/>
    <w:rPr>
      <w:i/>
      <w:iCs/>
      <w:color w:val="000000"/>
      <w:kern w:val="2"/>
      <w:sz w:val="21"/>
      <w:szCs w:val="21"/>
    </w:rPr>
  </w:style>
  <w:style w:type="character" w:customStyle="1" w:styleId="51">
    <w:name w:val="标题 字符"/>
    <w:link w:val="27"/>
    <w:autoRedefine/>
    <w:qFormat/>
    <w:uiPriority w:val="0"/>
    <w:rPr>
      <w:rFonts w:ascii="Arial" w:hAnsi="Arial" w:cs="Arial"/>
      <w:b/>
      <w:bCs/>
      <w:kern w:val="2"/>
      <w:sz w:val="32"/>
      <w:szCs w:val="32"/>
    </w:rPr>
  </w:style>
  <w:style w:type="paragraph" w:customStyle="1" w:styleId="5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autoRedefine/>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autoRedefine/>
    <w:qFormat/>
    <w:uiPriority w:val="0"/>
    <w:pPr>
      <w:spacing w:line="0" w:lineRule="atLeast"/>
    </w:pPr>
    <w:rPr>
      <w:rFonts w:ascii="黑体" w:hAnsi="宋体" w:eastAsia="黑体"/>
    </w:rPr>
  </w:style>
  <w:style w:type="paragraph" w:customStyle="1" w:styleId="58">
    <w:name w:val="标准文件_标准正文"/>
    <w:basedOn w:val="1"/>
    <w:next w:val="59"/>
    <w:autoRedefine/>
    <w:qFormat/>
    <w:uiPriority w:val="0"/>
    <w:pPr>
      <w:snapToGrid w:val="0"/>
      <w:ind w:firstLine="200" w:firstLineChars="200"/>
    </w:pPr>
    <w:rPr>
      <w:kern w:val="0"/>
    </w:rPr>
  </w:style>
  <w:style w:type="paragraph" w:customStyle="1" w:styleId="59">
    <w:name w:val="标准文件_段"/>
    <w:link w:val="187"/>
    <w:autoRedefine/>
    <w:qFormat/>
    <w:uiPriority w:val="0"/>
    <w:pPr>
      <w:autoSpaceDE w:val="0"/>
      <w:autoSpaceDN w:val="0"/>
      <w:ind w:firstLine="420" w:firstLineChars="200"/>
      <w:jc w:val="both"/>
    </w:pPr>
    <w:rPr>
      <w:rFonts w:ascii="宋体" w:hAnsi="宋体" w:eastAsia="宋体" w:cs="Times New Roman"/>
      <w:sz w:val="21"/>
      <w:szCs w:val="21"/>
      <w:lang w:val="en-US" w:eastAsia="zh-CN" w:bidi="ar-SA"/>
    </w:rPr>
  </w:style>
  <w:style w:type="paragraph" w:customStyle="1" w:styleId="60">
    <w:name w:val="标准文件_版本"/>
    <w:basedOn w:val="58"/>
    <w:autoRedefine/>
    <w:qFormat/>
    <w:uiPriority w:val="0"/>
    <w:pPr>
      <w:adjustRightInd/>
      <w:snapToGrid/>
      <w:ind w:firstLine="0" w:firstLineChars="0"/>
    </w:pPr>
    <w:rPr>
      <w:rFonts w:ascii="宋体" w:hAnsi="宋体"/>
      <w:kern w:val="2"/>
    </w:rPr>
  </w:style>
  <w:style w:type="paragraph" w:customStyle="1" w:styleId="61">
    <w:name w:val="标准文件_标准部门"/>
    <w:basedOn w:val="1"/>
    <w:autoRedefine/>
    <w:qFormat/>
    <w:uiPriority w:val="0"/>
    <w:pPr>
      <w:jc w:val="center"/>
    </w:pPr>
    <w:rPr>
      <w:rFonts w:ascii="黑体" w:eastAsia="黑体"/>
      <w:kern w:val="0"/>
      <w:sz w:val="44"/>
    </w:rPr>
  </w:style>
  <w:style w:type="paragraph" w:customStyle="1" w:styleId="62">
    <w:name w:val="标准文件_标准代替"/>
    <w:basedOn w:val="1"/>
    <w:next w:val="1"/>
    <w:autoRedefine/>
    <w:qFormat/>
    <w:uiPriority w:val="0"/>
    <w:pPr>
      <w:spacing w:line="310" w:lineRule="exact"/>
      <w:jc w:val="right"/>
    </w:pPr>
    <w:rPr>
      <w:rFonts w:ascii="宋体" w:hAnsi="宋体"/>
      <w:kern w:val="0"/>
    </w:rPr>
  </w:style>
  <w:style w:type="paragraph" w:customStyle="1" w:styleId="63">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autoRedefine/>
    <w:qFormat/>
    <w:uiPriority w:val="0"/>
    <w:pPr>
      <w:jc w:val="left"/>
    </w:pPr>
  </w:style>
  <w:style w:type="paragraph" w:customStyle="1" w:styleId="66">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autoRedefine/>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9">
    <w:name w:val="标准文件_发布"/>
    <w:autoRedefine/>
    <w:qFormat/>
    <w:uiPriority w:val="0"/>
    <w:rPr>
      <w:rFonts w:ascii="黑体" w:eastAsia="黑体"/>
      <w:spacing w:val="0"/>
      <w:w w:val="100"/>
      <w:position w:val="3"/>
      <w:sz w:val="28"/>
    </w:rPr>
  </w:style>
  <w:style w:type="paragraph" w:customStyle="1" w:styleId="70">
    <w:name w:val="标准文件_方框数字列项"/>
    <w:basedOn w:val="59"/>
    <w:autoRedefine/>
    <w:qFormat/>
    <w:uiPriority w:val="0"/>
    <w:pPr>
      <w:numPr>
        <w:ilvl w:val="0"/>
        <w:numId w:val="3"/>
      </w:numPr>
      <w:ind w:firstLine="0" w:firstLineChars="0"/>
    </w:pPr>
  </w:style>
  <w:style w:type="paragraph" w:customStyle="1" w:styleId="71">
    <w:name w:val="标准文件_封面标准编号"/>
    <w:basedOn w:val="1"/>
    <w:next w:val="62"/>
    <w:autoRedefine/>
    <w:qFormat/>
    <w:uiPriority w:val="0"/>
    <w:pPr>
      <w:spacing w:line="310" w:lineRule="exact"/>
      <w:jc w:val="right"/>
    </w:pPr>
    <w:rPr>
      <w:rFonts w:ascii="黑体" w:eastAsia="黑体"/>
      <w:kern w:val="0"/>
      <w:sz w:val="28"/>
    </w:rPr>
  </w:style>
  <w:style w:type="paragraph" w:customStyle="1" w:styleId="72">
    <w:name w:val="标准文件_封面标准分类号"/>
    <w:basedOn w:val="1"/>
    <w:autoRedefine/>
    <w:qFormat/>
    <w:uiPriority w:val="0"/>
    <w:rPr>
      <w:rFonts w:ascii="黑体" w:eastAsia="黑体"/>
      <w:b/>
      <w:kern w:val="0"/>
      <w:sz w:val="28"/>
    </w:rPr>
  </w:style>
  <w:style w:type="paragraph" w:customStyle="1" w:styleId="73">
    <w:name w:val="标准文件_封面标准名称"/>
    <w:basedOn w:val="1"/>
    <w:autoRedefine/>
    <w:qFormat/>
    <w:uiPriority w:val="0"/>
    <w:pPr>
      <w:spacing w:line="240" w:lineRule="auto"/>
      <w:jc w:val="center"/>
    </w:pPr>
    <w:rPr>
      <w:rFonts w:ascii="黑体" w:eastAsia="黑体"/>
      <w:kern w:val="0"/>
      <w:sz w:val="52"/>
    </w:rPr>
  </w:style>
  <w:style w:type="paragraph" w:customStyle="1" w:styleId="74">
    <w:name w:val="标准文件_封面标准英文名称"/>
    <w:basedOn w:val="1"/>
    <w:autoRedefine/>
    <w:qFormat/>
    <w:uiPriority w:val="0"/>
    <w:pPr>
      <w:spacing w:line="240" w:lineRule="auto"/>
      <w:jc w:val="center"/>
    </w:pPr>
    <w:rPr>
      <w:rFonts w:ascii="黑体" w:eastAsia="黑体"/>
      <w:b/>
      <w:sz w:val="28"/>
    </w:rPr>
  </w:style>
  <w:style w:type="paragraph" w:customStyle="1" w:styleId="75">
    <w:name w:val="标准文件_封面发布日期"/>
    <w:basedOn w:val="1"/>
    <w:autoRedefine/>
    <w:qFormat/>
    <w:uiPriority w:val="0"/>
    <w:pPr>
      <w:spacing w:line="310" w:lineRule="exact"/>
    </w:pPr>
    <w:rPr>
      <w:rFonts w:ascii="黑体" w:eastAsia="黑体"/>
      <w:kern w:val="0"/>
      <w:sz w:val="28"/>
    </w:rPr>
  </w:style>
  <w:style w:type="paragraph" w:customStyle="1" w:styleId="76">
    <w:name w:val="标准文件_封面密级"/>
    <w:basedOn w:val="1"/>
    <w:autoRedefine/>
    <w:qFormat/>
    <w:uiPriority w:val="0"/>
    <w:rPr>
      <w:rFonts w:eastAsia="黑体"/>
      <w:sz w:val="32"/>
    </w:rPr>
  </w:style>
  <w:style w:type="paragraph" w:customStyle="1" w:styleId="77">
    <w:name w:val="标准文件_封面实施日期"/>
    <w:basedOn w:val="1"/>
    <w:autoRedefine/>
    <w:qFormat/>
    <w:uiPriority w:val="0"/>
    <w:pPr>
      <w:spacing w:line="310" w:lineRule="exact"/>
      <w:jc w:val="right"/>
    </w:pPr>
    <w:rPr>
      <w:rFonts w:ascii="黑体" w:eastAsia="黑体"/>
      <w:sz w:val="28"/>
    </w:rPr>
  </w:style>
  <w:style w:type="paragraph" w:customStyle="1" w:styleId="78">
    <w:name w:val="标准文件_封面抬头"/>
    <w:basedOn w:val="59"/>
    <w:autoRedefine/>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autoRedefine/>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3"/>
    <w:autoRedefine/>
    <w:qFormat/>
    <w:uiPriority w:val="0"/>
    <w:rPr>
      <w:kern w:val="2"/>
      <w:sz w:val="21"/>
      <w:szCs w:val="21"/>
    </w:rPr>
  </w:style>
  <w:style w:type="paragraph" w:customStyle="1" w:styleId="90">
    <w:name w:val="标准文件_附录章标题"/>
    <w:next w:val="59"/>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autoRedefine/>
    <w:qFormat/>
    <w:uiPriority w:val="0"/>
    <w:pPr>
      <w:ind w:left="488" w:leftChars="200" w:hanging="289" w:hangingChars="290"/>
    </w:pPr>
  </w:style>
  <w:style w:type="paragraph" w:customStyle="1" w:styleId="92">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autoRedefine/>
    <w:qFormat/>
    <w:uiPriority w:val="0"/>
    <w:pPr>
      <w:spacing w:line="460" w:lineRule="exact"/>
      <w:ind w:left="0" w:firstLine="0"/>
    </w:pPr>
  </w:style>
  <w:style w:type="paragraph" w:customStyle="1" w:styleId="94">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5">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autoRedefine/>
    <w:qFormat/>
    <w:uiPriority w:val="0"/>
    <w:pPr>
      <w:numPr>
        <w:numId w:val="10"/>
      </w:numPr>
    </w:pPr>
  </w:style>
  <w:style w:type="paragraph" w:customStyle="1" w:styleId="97">
    <w:name w:val="标准文件_三级条标题"/>
    <w:basedOn w:val="68"/>
    <w:next w:val="59"/>
    <w:autoRedefine/>
    <w:qFormat/>
    <w:uiPriority w:val="0"/>
    <w:pPr>
      <w:widowControl/>
      <w:numPr>
        <w:ilvl w:val="4"/>
      </w:numPr>
      <w:ind w:left="5811"/>
      <w:outlineLvl w:val="3"/>
    </w:pPr>
  </w:style>
  <w:style w:type="character" w:customStyle="1" w:styleId="98">
    <w:name w:val="不明显参考1"/>
    <w:autoRedefine/>
    <w:qFormat/>
    <w:uiPriority w:val="31"/>
    <w:rPr>
      <w:smallCaps/>
      <w:color w:val="C0504D"/>
      <w:u w:val="single"/>
    </w:rPr>
  </w:style>
  <w:style w:type="paragraph" w:customStyle="1" w:styleId="99">
    <w:name w:val="标准文件_示例后续"/>
    <w:basedOn w:val="1"/>
    <w:autoRedefine/>
    <w:qFormat/>
    <w:uiPriority w:val="0"/>
    <w:pPr>
      <w:adjustRightInd/>
      <w:spacing w:line="240" w:lineRule="auto"/>
      <w:ind w:firstLine="200" w:firstLineChars="200"/>
    </w:pPr>
    <w:rPr>
      <w:sz w:val="18"/>
      <w:szCs w:val="24"/>
    </w:rPr>
  </w:style>
  <w:style w:type="paragraph" w:customStyle="1" w:styleId="100">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autoRedefine/>
    <w:semiHidden/>
    <w:qFormat/>
    <w:uiPriority w:val="0"/>
    <w:rPr>
      <w:rFonts w:ascii="宋体"/>
      <w:kern w:val="2"/>
      <w:sz w:val="18"/>
      <w:szCs w:val="18"/>
    </w:rPr>
  </w:style>
  <w:style w:type="paragraph" w:customStyle="1" w:styleId="103">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autoRedefine/>
    <w:qFormat/>
    <w:uiPriority w:val="0"/>
    <w:pPr>
      <w:numPr>
        <w:ilvl w:val="0"/>
        <w:numId w:val="12"/>
      </w:numPr>
      <w:spacing w:line="240" w:lineRule="auto"/>
      <w:jc w:val="left"/>
    </w:pPr>
    <w:rPr>
      <w:rFonts w:ascii="宋体" w:hAnsi="宋体"/>
      <w:sz w:val="18"/>
    </w:rPr>
  </w:style>
  <w:style w:type="character" w:customStyle="1" w:styleId="105">
    <w:name w:val="标准文件_图表脚注内容"/>
    <w:autoRedefine/>
    <w:qFormat/>
    <w:uiPriority w:val="0"/>
    <w:rPr>
      <w:rFonts w:ascii="宋体" w:hAnsi="宋体" w:eastAsia="宋体" w:cs="Times New Roman"/>
      <w:spacing w:val="0"/>
      <w:sz w:val="18"/>
      <w:vertAlign w:val="superscript"/>
    </w:rPr>
  </w:style>
  <w:style w:type="paragraph" w:customStyle="1" w:styleId="106">
    <w:name w:val="标准文件_五级条标题"/>
    <w:next w:val="59"/>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autoRedefine/>
    <w:qFormat/>
    <w:uiPriority w:val="0"/>
    <w:pPr>
      <w:numPr>
        <w:ilvl w:val="2"/>
      </w:numPr>
      <w:spacing w:before="156" w:beforeLines="50" w:after="156" w:afterLines="50"/>
      <w:ind w:left="0"/>
      <w:outlineLvl w:val="1"/>
    </w:pPr>
  </w:style>
  <w:style w:type="paragraph" w:customStyle="1" w:styleId="109">
    <w:name w:val="标准文件_一致程度"/>
    <w:basedOn w:val="1"/>
    <w:autoRedefine/>
    <w:qFormat/>
    <w:uiPriority w:val="0"/>
    <w:pPr>
      <w:spacing w:line="440" w:lineRule="exact"/>
      <w:jc w:val="center"/>
    </w:pPr>
    <w:rPr>
      <w:sz w:val="28"/>
    </w:rPr>
  </w:style>
  <w:style w:type="paragraph" w:customStyle="1" w:styleId="110">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autoRedefine/>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autoRedefine/>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3">
    <w:name w:val="标准文件_英文注："/>
    <w:basedOn w:val="1"/>
    <w:next w:val="59"/>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autoRedefine/>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autoRedefine/>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1">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2">
    <w:name w:val="发布部门"/>
    <w:next w:val="5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autoRedefine/>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autoRedefine/>
    <w:qFormat/>
    <w:uiPriority w:val="0"/>
    <w:pPr>
      <w:outlineLvl w:val="4"/>
    </w:pPr>
  </w:style>
  <w:style w:type="paragraph" w:customStyle="1" w:styleId="133">
    <w:name w:val="附录四级无标题条"/>
    <w:basedOn w:val="132"/>
    <w:next w:val="59"/>
    <w:autoRedefine/>
    <w:qFormat/>
    <w:uiPriority w:val="0"/>
    <w:pPr>
      <w:outlineLvl w:val="5"/>
    </w:pPr>
  </w:style>
  <w:style w:type="paragraph" w:customStyle="1" w:styleId="134">
    <w:name w:val="附录图"/>
    <w:next w:val="59"/>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autoRedefine/>
    <w:qFormat/>
    <w:uiPriority w:val="0"/>
    <w:pPr>
      <w:outlineLvl w:val="6"/>
    </w:pPr>
  </w:style>
  <w:style w:type="paragraph" w:customStyle="1" w:styleId="137">
    <w:name w:val="附录性质"/>
    <w:basedOn w:val="1"/>
    <w:autoRedefine/>
    <w:qFormat/>
    <w:uiPriority w:val="0"/>
    <w:pPr>
      <w:widowControl/>
      <w:adjustRightInd/>
      <w:jc w:val="center"/>
    </w:pPr>
    <w:rPr>
      <w:rFonts w:ascii="黑体" w:eastAsia="黑体"/>
    </w:rPr>
  </w:style>
  <w:style w:type="paragraph" w:customStyle="1" w:styleId="138">
    <w:name w:val="附录一级无标题条"/>
    <w:basedOn w:val="90"/>
    <w:next w:val="59"/>
    <w:autoRedefine/>
    <w:qFormat/>
    <w:uiPriority w:val="0"/>
    <w:pPr>
      <w:autoSpaceDN w:val="0"/>
      <w:outlineLvl w:val="2"/>
    </w:pPr>
    <w:rPr>
      <w:rFonts w:ascii="宋体" w:hAnsi="宋体" w:eastAsia="宋体"/>
    </w:rPr>
  </w:style>
  <w:style w:type="character" w:customStyle="1" w:styleId="139">
    <w:name w:val="个人答复风格"/>
    <w:autoRedefine/>
    <w:qFormat/>
    <w:uiPriority w:val="0"/>
    <w:rPr>
      <w:rFonts w:ascii="Arial" w:hAnsi="Arial" w:eastAsia="宋体" w:cs="Arial"/>
      <w:color w:val="auto"/>
      <w:spacing w:val="0"/>
      <w:sz w:val="20"/>
    </w:rPr>
  </w:style>
  <w:style w:type="character" w:customStyle="1" w:styleId="140">
    <w:name w:val="个人撰写风格"/>
    <w:autoRedefine/>
    <w:qFormat/>
    <w:uiPriority w:val="0"/>
    <w:rPr>
      <w:rFonts w:ascii="Arial" w:hAnsi="Arial" w:eastAsia="宋体" w:cs="Arial"/>
      <w:color w:val="auto"/>
      <w:spacing w:val="0"/>
      <w:sz w:val="20"/>
    </w:rPr>
  </w:style>
  <w:style w:type="paragraph" w:customStyle="1" w:styleId="141">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autoRedefine/>
    <w:qFormat/>
    <w:uiPriority w:val="0"/>
    <w:pPr>
      <w:tabs>
        <w:tab w:val="left" w:pos="840"/>
      </w:tabs>
    </w:pPr>
  </w:style>
  <w:style w:type="paragraph" w:customStyle="1" w:styleId="144">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autoRedefine/>
    <w:qFormat/>
    <w:uiPriority w:val="0"/>
    <w:pPr>
      <w:framePr w:wrap="around"/>
      <w:spacing w:line="0" w:lineRule="atLeast"/>
    </w:pPr>
    <w:rPr>
      <w:rFonts w:ascii="黑体" w:eastAsia="黑体"/>
      <w:b w:val="0"/>
    </w:rPr>
  </w:style>
  <w:style w:type="paragraph" w:customStyle="1" w:styleId="155">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7">
    <w:name w:val="实施日期"/>
    <w:basedOn w:val="123"/>
    <w:autoRedefine/>
    <w:qFormat/>
    <w:uiPriority w:val="0"/>
    <w:pPr>
      <w:framePr w:hSpace="0" w:wrap="around" w:xAlign="right"/>
      <w:jc w:val="right"/>
    </w:pPr>
  </w:style>
  <w:style w:type="paragraph" w:customStyle="1" w:styleId="158">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9">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autoRedefine/>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autoRedefine/>
    <w:qFormat/>
    <w:uiPriority w:val="0"/>
    <w:pPr>
      <w:numPr>
        <w:ilvl w:val="6"/>
        <w:numId w:val="20"/>
      </w:numPr>
      <w:adjustRightInd/>
    </w:pPr>
    <w:rPr>
      <w:szCs w:val="24"/>
    </w:rPr>
  </w:style>
  <w:style w:type="paragraph" w:customStyle="1" w:styleId="162">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3">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autoRedefine/>
    <w:qFormat/>
    <w:uiPriority w:val="0"/>
    <w:pPr>
      <w:ind w:left="1406" w:leftChars="0" w:hanging="499" w:firstLineChars="0"/>
    </w:pPr>
  </w:style>
  <w:style w:type="paragraph" w:customStyle="1" w:styleId="165">
    <w:name w:val="标准文件_一级无标题"/>
    <w:basedOn w:val="108"/>
    <w:autoRedefine/>
    <w:qFormat/>
    <w:uiPriority w:val="0"/>
    <w:pPr>
      <w:spacing w:before="0" w:beforeLines="0" w:after="0" w:afterLines="0"/>
      <w:outlineLvl w:val="9"/>
    </w:pPr>
    <w:rPr>
      <w:rFonts w:ascii="宋体" w:eastAsia="宋体"/>
    </w:rPr>
  </w:style>
  <w:style w:type="paragraph" w:customStyle="1" w:styleId="166">
    <w:name w:val="标准文件_五级无标题"/>
    <w:basedOn w:val="106"/>
    <w:autoRedefine/>
    <w:qFormat/>
    <w:uiPriority w:val="0"/>
    <w:pPr>
      <w:spacing w:before="0" w:beforeLines="0" w:after="0" w:afterLines="0"/>
      <w:outlineLvl w:val="9"/>
    </w:pPr>
    <w:rPr>
      <w:rFonts w:ascii="宋体" w:eastAsia="宋体"/>
    </w:rPr>
  </w:style>
  <w:style w:type="paragraph" w:customStyle="1" w:styleId="167">
    <w:name w:val="标准文件_三级无标题"/>
    <w:basedOn w:val="97"/>
    <w:autoRedefine/>
    <w:qFormat/>
    <w:uiPriority w:val="0"/>
    <w:pPr>
      <w:spacing w:before="0" w:beforeLines="0" w:after="0" w:afterLines="0"/>
      <w:outlineLvl w:val="9"/>
    </w:pPr>
    <w:rPr>
      <w:rFonts w:ascii="宋体" w:eastAsia="宋体"/>
    </w:rPr>
  </w:style>
  <w:style w:type="paragraph" w:customStyle="1" w:styleId="168">
    <w:name w:val="标准文件_二级无标题"/>
    <w:basedOn w:val="68"/>
    <w:autoRedefine/>
    <w:qFormat/>
    <w:uiPriority w:val="0"/>
    <w:pPr>
      <w:spacing w:before="0" w:beforeLines="0" w:after="0" w:afterLines="0"/>
      <w:outlineLvl w:val="9"/>
    </w:pPr>
    <w:rPr>
      <w:rFonts w:ascii="宋体" w:eastAsia="宋体"/>
    </w:rPr>
  </w:style>
  <w:style w:type="paragraph" w:customStyle="1" w:styleId="169">
    <w:name w:val="标准_四级无标题"/>
    <w:basedOn w:val="101"/>
    <w:next w:val="59"/>
    <w:autoRedefine/>
    <w:qFormat/>
    <w:uiPriority w:val="0"/>
    <w:rPr>
      <w:rFonts w:eastAsia="宋体"/>
    </w:rPr>
  </w:style>
  <w:style w:type="paragraph" w:customStyle="1" w:styleId="170">
    <w:name w:val="标准文件_四级无标题"/>
    <w:basedOn w:val="101"/>
    <w:autoRedefine/>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autoRedefine/>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autoRedefine/>
    <w:qFormat/>
    <w:uiPriority w:val="0"/>
    <w:pPr>
      <w:numPr>
        <w:ilvl w:val="0"/>
        <w:numId w:val="24"/>
      </w:numPr>
      <w:ind w:firstLine="0" w:firstLineChars="0"/>
    </w:pPr>
    <w:rPr>
      <w:rFonts w:cs="Arial"/>
      <w:szCs w:val="28"/>
    </w:rPr>
  </w:style>
  <w:style w:type="paragraph" w:customStyle="1" w:styleId="173">
    <w:name w:val="标准文件_附录标题"/>
    <w:basedOn w:val="79"/>
    <w:autoRedefine/>
    <w:qFormat/>
    <w:uiPriority w:val="0"/>
    <w:pPr>
      <w:numPr>
        <w:numId w:val="0"/>
      </w:numPr>
      <w:spacing w:after="280"/>
      <w:outlineLvl w:val="9"/>
    </w:pPr>
  </w:style>
  <w:style w:type="paragraph" w:customStyle="1" w:styleId="174">
    <w:name w:val="标准文件_二级项"/>
    <w:autoRedefine/>
    <w:qFormat/>
    <w:uiPriority w:val="0"/>
    <w:rPr>
      <w:rFonts w:ascii="宋体" w:hAnsi="Times New Roman" w:eastAsia="宋体" w:cs="Times New Roman"/>
      <w:sz w:val="21"/>
      <w:lang w:val="en-US" w:eastAsia="zh-CN" w:bidi="ar-SA"/>
    </w:rPr>
  </w:style>
  <w:style w:type="paragraph" w:customStyle="1" w:styleId="175">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autoRedefine/>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autoRedefine/>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autoRedefine/>
    <w:qFormat/>
    <w:uiPriority w:val="0"/>
    <w:pPr>
      <w:ind w:firstLine="0" w:firstLineChars="0"/>
      <w:jc w:val="center"/>
    </w:pPr>
    <w:rPr>
      <w:sz w:val="18"/>
    </w:rPr>
  </w:style>
  <w:style w:type="paragraph" w:customStyle="1" w:styleId="182">
    <w:name w:val="标准文件_注："/>
    <w:next w:val="59"/>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autoRedefine/>
    <w:qFormat/>
    <w:uiPriority w:val="0"/>
    <w:rPr>
      <w:sz w:val="18"/>
    </w:rPr>
  </w:style>
  <w:style w:type="paragraph" w:customStyle="1" w:styleId="186">
    <w:name w:val="标准文件_示例×："/>
    <w:basedOn w:val="1"/>
    <w:next w:val="185"/>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autoRedefine/>
    <w:qFormat/>
    <w:uiPriority w:val="0"/>
    <w:rPr>
      <w:rFonts w:ascii="宋体" w:hAnsi="宋体"/>
      <w:sz w:val="21"/>
      <w:szCs w:val="21"/>
    </w:rPr>
  </w:style>
  <w:style w:type="paragraph" w:customStyle="1" w:styleId="188">
    <w:name w:val="标准文件_表格续"/>
    <w:basedOn w:val="59"/>
    <w:next w:val="59"/>
    <w:autoRedefine/>
    <w:qFormat/>
    <w:uiPriority w:val="0"/>
    <w:pPr>
      <w:jc w:val="center"/>
    </w:pPr>
    <w:rPr>
      <w:rFonts w:ascii="黑体" w:hAnsi="黑体" w:eastAsia="黑体"/>
    </w:rPr>
  </w:style>
  <w:style w:type="character" w:styleId="189">
    <w:name w:val="Placeholder Text"/>
    <w:basedOn w:val="30"/>
    <w:autoRedefine/>
    <w:semiHidden/>
    <w:qFormat/>
    <w:uiPriority w:val="99"/>
    <w:rPr>
      <w:color w:val="808080"/>
    </w:rPr>
  </w:style>
  <w:style w:type="paragraph" w:customStyle="1" w:styleId="190">
    <w:name w:val="标准文件_二级项2"/>
    <w:basedOn w:val="59"/>
    <w:autoRedefine/>
    <w:qFormat/>
    <w:uiPriority w:val="0"/>
    <w:pPr>
      <w:numPr>
        <w:ilvl w:val="1"/>
        <w:numId w:val="21"/>
      </w:numPr>
      <w:ind w:left="851" w:firstLine="0" w:firstLineChars="0"/>
    </w:pPr>
  </w:style>
  <w:style w:type="paragraph" w:customStyle="1" w:styleId="191">
    <w:name w:val="标准文件_三级项2"/>
    <w:basedOn w:val="59"/>
    <w:autoRedefine/>
    <w:qFormat/>
    <w:uiPriority w:val="0"/>
    <w:pPr>
      <w:numPr>
        <w:ilvl w:val="0"/>
        <w:numId w:val="30"/>
      </w:numPr>
      <w:spacing w:line="300" w:lineRule="exact"/>
      <w:ind w:firstLineChars="0"/>
    </w:pPr>
    <w:rPr>
      <w:rFonts w:ascii="Times New Roman"/>
    </w:rPr>
  </w:style>
  <w:style w:type="paragraph" w:customStyle="1" w:styleId="192">
    <w:name w:val="标准文件_一级项2"/>
    <w:basedOn w:val="59"/>
    <w:autoRedefine/>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autoRedefine/>
    <w:qFormat/>
    <w:uiPriority w:val="0"/>
    <w:rPr>
      <w:rFonts w:ascii="黑体" w:eastAsia="黑体"/>
    </w:rPr>
  </w:style>
  <w:style w:type="character" w:customStyle="1" w:styleId="194">
    <w:name w:val="标准文件_来源"/>
    <w:basedOn w:val="30"/>
    <w:autoRedefine/>
    <w:qFormat/>
    <w:uiPriority w:val="1"/>
    <w:rPr>
      <w:rFonts w:eastAsia="宋体"/>
      <w:sz w:val="21"/>
    </w:rPr>
  </w:style>
  <w:style w:type="paragraph" w:customStyle="1" w:styleId="195">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autoRedefine/>
    <w:qFormat/>
    <w:uiPriority w:val="0"/>
    <w:pPr>
      <w:framePr w:w="3997" w:h="471" w:hRule="exact" w:hSpace="0" w:vSpace="181" w:wrap="around" w:vAnchor="page" w:hAnchor="page" w:x="1419" w:y="14097"/>
    </w:pPr>
  </w:style>
  <w:style w:type="paragraph" w:customStyle="1" w:styleId="197">
    <w:name w:val="其他实施日期"/>
    <w:basedOn w:val="157"/>
    <w:autoRedefine/>
    <w:qFormat/>
    <w:uiPriority w:val="0"/>
    <w:pPr>
      <w:framePr w:w="3997" w:h="471" w:hRule="exact" w:vSpace="181" w:wrap="around" w:vAnchor="page" w:hAnchor="page" w:x="7089" w:y="14097"/>
    </w:pPr>
  </w:style>
  <w:style w:type="paragraph" w:customStyle="1" w:styleId="198">
    <w:name w:val="标准文件_文件编号"/>
    <w:basedOn w:val="59"/>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autoRedefine/>
    <w:qFormat/>
    <w:uiPriority w:val="0"/>
    <w:pPr>
      <w:framePr/>
      <w:spacing w:before="57"/>
    </w:pPr>
    <w:rPr>
      <w:sz w:val="21"/>
    </w:rPr>
  </w:style>
  <w:style w:type="paragraph" w:customStyle="1" w:styleId="200">
    <w:name w:val="标准文件_文件名称"/>
    <w:basedOn w:val="59"/>
    <w:next w:val="59"/>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autoRedefine/>
    <w:qFormat/>
    <w:uiPriority w:val="0"/>
    <w:pPr>
      <w:numPr>
        <w:ilvl w:val="0"/>
        <w:numId w:val="6"/>
      </w:numPr>
      <w:spacing w:line="14" w:lineRule="exact"/>
      <w:ind w:firstLine="0" w:firstLineChars="0"/>
      <w:jc w:val="center"/>
    </w:pPr>
    <w:rPr>
      <w:rFonts w:ascii="黑体" w:hAnsi="黑体" w:eastAsia="黑体"/>
      <w:vanish/>
      <w:sz w:val="2"/>
    </w:rPr>
  </w:style>
  <w:style w:type="paragraph" w:customStyle="1" w:styleId="202">
    <w:name w:val="标准文件_附录表标号"/>
    <w:basedOn w:val="59"/>
    <w:next w:val="59"/>
    <w:autoRedefine/>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autoRedefine/>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autoRedefine/>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autoRedefine/>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autoRedefine/>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autoRedefine/>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autoRedefine/>
    <w:qFormat/>
    <w:uiPriority w:val="0"/>
    <w:pPr>
      <w:ind w:left="811" w:firstLine="0" w:firstLineChars="0"/>
    </w:pPr>
    <w:rPr>
      <w:sz w:val="18"/>
    </w:rPr>
  </w:style>
  <w:style w:type="paragraph" w:customStyle="1" w:styleId="209">
    <w:name w:val="标准文件_注X后"/>
    <w:basedOn w:val="59"/>
    <w:autoRedefine/>
    <w:qFormat/>
    <w:uiPriority w:val="0"/>
    <w:pPr>
      <w:ind w:left="811" w:firstLine="0" w:firstLineChars="0"/>
    </w:pPr>
    <w:rPr>
      <w:sz w:val="18"/>
    </w:rPr>
  </w:style>
  <w:style w:type="paragraph" w:customStyle="1" w:styleId="210">
    <w:name w:val="标准文件_示例后"/>
    <w:basedOn w:val="59"/>
    <w:autoRedefine/>
    <w:qFormat/>
    <w:uiPriority w:val="0"/>
    <w:pPr>
      <w:ind w:left="964" w:firstLine="0" w:firstLineChars="0"/>
    </w:pPr>
    <w:rPr>
      <w:sz w:val="18"/>
    </w:rPr>
  </w:style>
  <w:style w:type="paragraph" w:customStyle="1" w:styleId="211">
    <w:name w:val="标准文件_示例X后"/>
    <w:basedOn w:val="59"/>
    <w:link w:val="212"/>
    <w:autoRedefine/>
    <w:qFormat/>
    <w:uiPriority w:val="0"/>
    <w:pPr>
      <w:ind w:left="1049" w:firstLine="0" w:firstLineChars="0"/>
    </w:pPr>
    <w:rPr>
      <w:sz w:val="18"/>
    </w:rPr>
  </w:style>
  <w:style w:type="character" w:customStyle="1" w:styleId="212">
    <w:name w:val="标准文件_示例X后 字符"/>
    <w:basedOn w:val="187"/>
    <w:link w:val="211"/>
    <w:autoRedefine/>
    <w:qFormat/>
    <w:uiPriority w:val="0"/>
    <w:rPr>
      <w:rFonts w:ascii="宋体" w:hAnsi="Times New Roman"/>
      <w:sz w:val="18"/>
      <w:szCs w:val="21"/>
    </w:rPr>
  </w:style>
  <w:style w:type="paragraph" w:customStyle="1" w:styleId="213">
    <w:name w:val="标准文件_索引项"/>
    <w:basedOn w:val="59"/>
    <w:next w:val="59"/>
    <w:autoRedefine/>
    <w:qFormat/>
    <w:uiPriority w:val="0"/>
    <w:pPr>
      <w:tabs>
        <w:tab w:val="right" w:leader="dot" w:pos="9356"/>
      </w:tabs>
      <w:ind w:left="210" w:hanging="210" w:firstLineChars="0"/>
      <w:jc w:val="left"/>
    </w:pPr>
  </w:style>
  <w:style w:type="paragraph" w:customStyle="1" w:styleId="214">
    <w:name w:val="标准文件_附录一级无标题"/>
    <w:basedOn w:val="81"/>
    <w:autoRedefine/>
    <w:qFormat/>
    <w:uiPriority w:val="0"/>
    <w:pPr>
      <w:spacing w:before="0" w:beforeLines="0" w:after="0" w:afterLines="0" w:line="276" w:lineRule="auto"/>
      <w:jc w:val="left"/>
      <w:outlineLvl w:val="9"/>
    </w:pPr>
    <w:rPr>
      <w:rFonts w:ascii="宋体" w:eastAsia="宋体"/>
    </w:rPr>
  </w:style>
  <w:style w:type="paragraph" w:customStyle="1" w:styleId="215">
    <w:name w:val="标准文件_附录二级无标题"/>
    <w:basedOn w:val="82"/>
    <w:autoRedefine/>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autoRedefine/>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autoRedefine/>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autoRedefine/>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autoRedefine/>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autoRedefine/>
    <w:qFormat/>
    <w:uiPriority w:val="0"/>
    <w:pPr>
      <w:spacing w:before="0" w:beforeLines="0" w:after="0" w:afterLines="0" w:line="276" w:lineRule="auto"/>
    </w:pPr>
    <w:rPr>
      <w:rFonts w:ascii="宋体" w:eastAsia="宋体"/>
    </w:rPr>
  </w:style>
  <w:style w:type="paragraph" w:customStyle="1" w:styleId="221">
    <w:name w:val="标准文件_引言三级无标题"/>
    <w:basedOn w:val="205"/>
    <w:autoRedefine/>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autoRedefine/>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autoRedefine/>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autoRedefine/>
    <w:qFormat/>
    <w:uiPriority w:val="0"/>
    <w:rPr>
      <w:rFonts w:hAnsi="黑体"/>
    </w:rPr>
  </w:style>
  <w:style w:type="paragraph" w:customStyle="1" w:styleId="225">
    <w:name w:val="标准文件_脚注内容"/>
    <w:basedOn w:val="59"/>
    <w:autoRedefine/>
    <w:qFormat/>
    <w:uiPriority w:val="0"/>
    <w:pPr>
      <w:ind w:left="400" w:leftChars="200" w:hanging="200" w:hangingChars="200"/>
    </w:pPr>
    <w:rPr>
      <w:sz w:val="15"/>
    </w:rPr>
  </w:style>
  <w:style w:type="paragraph" w:customStyle="1" w:styleId="226">
    <w:name w:val="标准文件_术语条一"/>
    <w:basedOn w:val="165"/>
    <w:next w:val="59"/>
    <w:autoRedefine/>
    <w:qFormat/>
    <w:uiPriority w:val="0"/>
  </w:style>
  <w:style w:type="paragraph" w:customStyle="1" w:styleId="227">
    <w:name w:val="标准文件_术语条二"/>
    <w:basedOn w:val="168"/>
    <w:next w:val="59"/>
    <w:autoRedefine/>
    <w:qFormat/>
    <w:uiPriority w:val="0"/>
  </w:style>
  <w:style w:type="paragraph" w:customStyle="1" w:styleId="228">
    <w:name w:val="标准文件_术语条三"/>
    <w:basedOn w:val="167"/>
    <w:next w:val="59"/>
    <w:autoRedefine/>
    <w:qFormat/>
    <w:uiPriority w:val="0"/>
  </w:style>
  <w:style w:type="paragraph" w:customStyle="1" w:styleId="229">
    <w:name w:val="标准文件_术语条四"/>
    <w:basedOn w:val="170"/>
    <w:next w:val="59"/>
    <w:autoRedefine/>
    <w:qFormat/>
    <w:uiPriority w:val="0"/>
  </w:style>
  <w:style w:type="paragraph" w:customStyle="1" w:styleId="230">
    <w:name w:val="标准文件_术语条五"/>
    <w:basedOn w:val="166"/>
    <w:next w:val="59"/>
    <w:autoRedefine/>
    <w:qFormat/>
    <w:uiPriority w:val="0"/>
  </w:style>
  <w:style w:type="paragraph" w:customStyle="1" w:styleId="2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autoRedefine/>
    <w:qFormat/>
    <w:uiPriority w:val="0"/>
    <w:rPr>
      <w:rFonts w:ascii="黑体" w:eastAsia="黑体"/>
      <w:spacing w:val="85"/>
      <w:w w:val="100"/>
      <w:position w:val="3"/>
      <w:sz w:val="28"/>
      <w:szCs w:val="28"/>
    </w:rPr>
  </w:style>
  <w:style w:type="paragraph" w:customStyle="1" w:styleId="233">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34">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35">
    <w:name w:val="正文3"/>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36">
    <w:name w:val="修订1"/>
    <w:autoRedefine/>
    <w:hidden/>
    <w:unhideWhenUsed/>
    <w:qFormat/>
    <w:uiPriority w:val="99"/>
    <w:rPr>
      <w:rFonts w:ascii="Calibri" w:hAnsi="Calibri" w:eastAsia="宋体" w:cs="Times New Roman"/>
      <w:kern w:val="2"/>
      <w:sz w:val="21"/>
      <w:szCs w:val="21"/>
      <w:lang w:val="en-US" w:eastAsia="zh-CN" w:bidi="ar-SA"/>
    </w:rPr>
  </w:style>
  <w:style w:type="paragraph" w:customStyle="1" w:styleId="237">
    <w:name w:val="目次、标准名称标题"/>
    <w:basedOn w:val="1"/>
    <w:next w:val="238"/>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8">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9">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40">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41">
    <w:name w:val="修订2"/>
    <w:autoRedefine/>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jpe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730F61BC87C4DF5B9BEB5A6F997AE11"/>
        <w:style w:val=""/>
        <w:category>
          <w:name w:val="常规"/>
          <w:gallery w:val="placeholder"/>
        </w:category>
        <w:types>
          <w:type w:val="bbPlcHdr"/>
        </w:types>
        <w:behaviors>
          <w:behavior w:val="content"/>
        </w:behaviors>
        <w:description w:val=""/>
        <w:guid w:val="{B704D2A0-6696-4C15-9E7D-ED3B1B07808F}"/>
      </w:docPartPr>
      <w:docPartBody>
        <w:p>
          <w:pPr>
            <w:pStyle w:val="5"/>
          </w:pPr>
          <w:r>
            <w:rPr>
              <w:rStyle w:val="4"/>
              <w:rFonts w:hint="eastAsia"/>
            </w:rPr>
            <w:t>单击或点击此处输入文字。</w:t>
          </w:r>
        </w:p>
      </w:docPartBody>
    </w:docPart>
    <w:docPart>
      <w:docPartPr>
        <w:name w:val="BAC41B78254F4FD590EA7E3E78E7EBED"/>
        <w:style w:val=""/>
        <w:category>
          <w:name w:val="常规"/>
          <w:gallery w:val="placeholder"/>
        </w:category>
        <w:types>
          <w:type w:val="bbPlcHdr"/>
        </w:types>
        <w:behaviors>
          <w:behavior w:val="content"/>
        </w:behaviors>
        <w:description w:val=""/>
        <w:guid w:val="{490505A7-CAA2-4334-A9DF-804680FFA962}"/>
      </w:docPartPr>
      <w:docPartBody>
        <w:p>
          <w:pPr>
            <w:pStyle w:val="6"/>
          </w:pPr>
          <w:r>
            <w:rPr>
              <w:rStyle w:val="4"/>
              <w:rFonts w:hint="eastAsia"/>
            </w:rPr>
            <w:t>选择一项。</w:t>
          </w:r>
        </w:p>
      </w:docPartBody>
    </w:docPart>
    <w:docPart>
      <w:docPartPr>
        <w:name w:val="0F4FD9C5CA994740AAF59F8BFEDC52C0"/>
        <w:style w:val=""/>
        <w:category>
          <w:name w:val="常规"/>
          <w:gallery w:val="placeholder"/>
        </w:category>
        <w:types>
          <w:type w:val="bbPlcHdr"/>
        </w:types>
        <w:behaviors>
          <w:behavior w:val="content"/>
        </w:behaviors>
        <w:description w:val=""/>
        <w:guid w:val="{8FDDDA3B-01FB-424A-B7DC-58502BC08477}"/>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99"/>
    <w:rsid w:val="000B2F1E"/>
    <w:rsid w:val="000B7AD9"/>
    <w:rsid w:val="000E3168"/>
    <w:rsid w:val="0019150D"/>
    <w:rsid w:val="001947AE"/>
    <w:rsid w:val="001C145A"/>
    <w:rsid w:val="00230BDB"/>
    <w:rsid w:val="002341F3"/>
    <w:rsid w:val="0030101E"/>
    <w:rsid w:val="00342BA2"/>
    <w:rsid w:val="00346076"/>
    <w:rsid w:val="003521D2"/>
    <w:rsid w:val="003B283A"/>
    <w:rsid w:val="003D581B"/>
    <w:rsid w:val="0042123B"/>
    <w:rsid w:val="00450D1C"/>
    <w:rsid w:val="00483306"/>
    <w:rsid w:val="004E6699"/>
    <w:rsid w:val="004F710A"/>
    <w:rsid w:val="005B0910"/>
    <w:rsid w:val="005B7054"/>
    <w:rsid w:val="005D5FD7"/>
    <w:rsid w:val="006325EA"/>
    <w:rsid w:val="007624E8"/>
    <w:rsid w:val="007E3C3C"/>
    <w:rsid w:val="008335D1"/>
    <w:rsid w:val="00867739"/>
    <w:rsid w:val="008C578E"/>
    <w:rsid w:val="009416A4"/>
    <w:rsid w:val="00970AFB"/>
    <w:rsid w:val="009D0BD2"/>
    <w:rsid w:val="009E34DB"/>
    <w:rsid w:val="00A70447"/>
    <w:rsid w:val="00A82FCC"/>
    <w:rsid w:val="00A93ACC"/>
    <w:rsid w:val="00B01AA2"/>
    <w:rsid w:val="00B35BF1"/>
    <w:rsid w:val="00BA1648"/>
    <w:rsid w:val="00BF6049"/>
    <w:rsid w:val="00C32A79"/>
    <w:rsid w:val="00CA57E3"/>
    <w:rsid w:val="00CA6222"/>
    <w:rsid w:val="00CE030C"/>
    <w:rsid w:val="00CE7537"/>
    <w:rsid w:val="00D772B4"/>
    <w:rsid w:val="00D83DFA"/>
    <w:rsid w:val="00D91899"/>
    <w:rsid w:val="00DC3135"/>
    <w:rsid w:val="00DE3A7F"/>
    <w:rsid w:val="00E2317B"/>
    <w:rsid w:val="00E251D6"/>
    <w:rsid w:val="00E44C25"/>
    <w:rsid w:val="00E90A3D"/>
    <w:rsid w:val="00ED5C54"/>
    <w:rsid w:val="00ED646C"/>
    <w:rsid w:val="00F46ED3"/>
    <w:rsid w:val="00F575BA"/>
    <w:rsid w:val="00FB5A19"/>
    <w:rsid w:val="00FD0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0730F61BC87C4DF5B9BEB5A6F997AE1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AC41B78254F4FD590EA7E3E78E7EBE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F4FD9C5CA994740AAF59F8BFEDC52C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13</Pages>
  <Words>6512</Words>
  <Characters>6798</Characters>
  <Lines>57</Lines>
  <Paragraphs>16</Paragraphs>
  <TotalTime>1</TotalTime>
  <ScaleCrop>false</ScaleCrop>
  <LinksUpToDate>false</LinksUpToDate>
  <CharactersWithSpaces>6878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2024-05-23T07:21:00Z</dcterms:created>
  <dc:creator>wjn</dc:creator>
  <dc:description>&lt;config cover="true" show_menu="true" version="1.0.0" doctype="SDKXY"&gt;_x000d_
&lt;/config&gt;</dc:description>
  <cp:lastModifiedBy> LazaRus⑦</cp:lastModifiedBy>
  <cp:lastPrinted>2023-09-27T06:24:00Z</cp:lastPrinted>
  <dcterms:modified xsi:type="dcterms:W3CDTF">2024-06-13T02:16:12Z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830F72A9A7BC4332B95BFE3507CAC143_13</vt:lpwstr>
  </property>
</Properties>
</file>